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微软雅黑" w:hAnsi="微软雅黑" w:eastAsia="微软雅黑" w:cs="微软雅黑"/>
        </w:rPr>
      </w:pPr>
      <w:r>
        <w:rPr>
          <w:rFonts w:hint="eastAsia" w:ascii="微软雅黑" w:hAnsi="微软雅黑" w:eastAsia="微软雅黑" w:cs="微软雅黑"/>
        </w:rPr>
        <w:drawing>
          <wp:anchor distT="0" distB="0" distL="0" distR="0" simplePos="0" relativeHeight="251659264" behindDoc="0" locked="0" layoutInCell="1" allowOverlap="1">
            <wp:simplePos x="0" y="0"/>
            <wp:positionH relativeFrom="page">
              <wp:posOffset>-799465</wp:posOffset>
            </wp:positionH>
            <wp:positionV relativeFrom="page">
              <wp:posOffset>-1270</wp:posOffset>
            </wp:positionV>
            <wp:extent cx="8743950" cy="11043920"/>
            <wp:effectExtent l="0" t="0" r="6350" b="5080"/>
            <wp:wrapNone/>
            <wp:docPr id="1" name="image1.jpeg" descr="C:\Users\User\Desktop\1x\资源 4.png资源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User\Desktop\1x\资源 4.png资源 4"/>
                    <pic:cNvPicPr>
                      <a:picLocks noChangeAspect="1"/>
                    </pic:cNvPicPr>
                  </pic:nvPicPr>
                  <pic:blipFill>
                    <a:blip r:embed="rId6"/>
                    <a:srcRect/>
                    <a:stretch>
                      <a:fillRect/>
                    </a:stretch>
                  </pic:blipFill>
                  <pic:spPr>
                    <a:xfrm>
                      <a:off x="0" y="0"/>
                      <a:ext cx="8743950" cy="11043920"/>
                    </a:xfrm>
                    <a:prstGeom prst="rect">
                      <a:avLst/>
                    </a:prstGeom>
                  </pic:spPr>
                </pic:pic>
              </a:graphicData>
            </a:graphic>
          </wp:anchor>
        </w:drawing>
      </w: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lang w:eastAsia="zh-CN"/>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bidi w:val="0"/>
        <w:jc w:val="center"/>
        <w:rPr>
          <w:rFonts w:hint="eastAsia" w:ascii="微软雅黑" w:hAnsi="微软雅黑" w:eastAsia="微软雅黑" w:cs="微软雅黑"/>
          <w:sz w:val="32"/>
          <w:szCs w:val="32"/>
        </w:rPr>
      </w:pPr>
      <w:r>
        <w:rPr>
          <w:rFonts w:hint="eastAsia" w:ascii="微软雅黑" w:hAnsi="微软雅黑" w:eastAsia="微软雅黑" w:cs="微软雅黑"/>
          <w:sz w:val="32"/>
          <w:szCs w:val="32"/>
        </w:rPr>
        <w:t>序言</w:t>
      </w:r>
    </w:p>
    <w:p>
      <w:pPr>
        <w:bidi w:val="0"/>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本报告由安芯易电子商务（深圳）有限公司推出，旨在为客户、供应商及合作伙伴提供半导体行业资讯及市场趋势预测，报告涵盖宏观动态、半导体产业动态、终端市场动态、重点产品行情等模块，助力行情洞察、精准决策。</w:t>
      </w:r>
    </w:p>
    <w:p>
      <w:pPr>
        <w:bidi w:val="0"/>
        <w:ind w:firstLine="560" w:firstLineChars="200"/>
        <w:rPr>
          <w:rFonts w:hint="eastAsia" w:ascii="微软雅黑" w:hAnsi="微软雅黑" w:eastAsia="微软雅黑" w:cs="微软雅黑"/>
          <w:sz w:val="28"/>
          <w:szCs w:val="28"/>
        </w:rPr>
        <w:sectPr>
          <w:headerReference r:id="rId3" w:type="default"/>
          <w:pgSz w:w="11906" w:h="16838"/>
          <w:pgMar w:top="1440" w:right="1800" w:bottom="1440" w:left="1800" w:header="851" w:footer="992" w:gutter="0"/>
          <w:cols w:space="425" w:num="1"/>
          <w:docGrid w:type="lines" w:linePitch="312" w:charSpace="0"/>
        </w:sectPr>
      </w:pPr>
      <w:r>
        <w:rPr>
          <w:rFonts w:hint="eastAsia" w:ascii="微软雅黑" w:hAnsi="微软雅黑" w:eastAsia="微软雅黑" w:cs="微软雅黑"/>
          <w:sz w:val="28"/>
          <w:szCs w:val="28"/>
        </w:rPr>
        <w:t>本报告每月更新，可关注安芯易电子</w:t>
      </w:r>
      <w:r>
        <w:rPr>
          <w:rFonts w:hint="eastAsia" w:ascii="微软雅黑" w:hAnsi="微软雅黑" w:cs="微软雅黑"/>
          <w:sz w:val="28"/>
          <w:szCs w:val="28"/>
          <w:lang w:val="en-US" w:eastAsia="zh-CN"/>
        </w:rPr>
        <w:t>微信公众</w:t>
      </w:r>
      <w:r>
        <w:rPr>
          <w:rFonts w:hint="eastAsia" w:ascii="微软雅黑" w:hAnsi="微软雅黑" w:eastAsia="微软雅黑" w:cs="微软雅黑"/>
          <w:sz w:val="28"/>
          <w:szCs w:val="28"/>
        </w:rPr>
        <w:t>号，及时获取报告发布等信息。您</w:t>
      </w:r>
      <w:r>
        <w:rPr>
          <w:rFonts w:hint="eastAsia" w:ascii="微软雅黑" w:hAnsi="微软雅黑" w:cs="微软雅黑"/>
          <w:sz w:val="28"/>
          <w:szCs w:val="28"/>
          <w:lang w:val="en-US" w:eastAsia="zh-CN"/>
        </w:rPr>
        <w:t>也</w:t>
      </w:r>
      <w:r>
        <w:rPr>
          <w:rFonts w:hint="eastAsia" w:ascii="微软雅黑" w:hAnsi="微软雅黑" w:eastAsia="微软雅黑" w:cs="微软雅黑"/>
          <w:sz w:val="28"/>
          <w:szCs w:val="28"/>
        </w:rPr>
        <w:t>可以通过联系安芯易客户经理获取完整版报告。</w:t>
      </w:r>
    </w:p>
    <w:p>
      <w:pPr>
        <w:rPr>
          <w:rFonts w:hint="eastAsia" w:ascii="微软雅黑" w:hAnsi="微软雅黑" w:eastAsia="微软雅黑" w:cs="微软雅黑"/>
        </w:rPr>
      </w:pPr>
    </w:p>
    <w:sdt>
      <w:sdtPr>
        <w:rPr>
          <w:rFonts w:hint="eastAsia" w:ascii="微软雅黑" w:hAnsi="微软雅黑" w:eastAsia="微软雅黑" w:cs="微软雅黑"/>
          <w:kern w:val="2"/>
          <w:sz w:val="32"/>
          <w:szCs w:val="32"/>
          <w:lang w:val="en-US" w:eastAsia="zh-CN" w:bidi="ar-SA"/>
        </w:rPr>
        <w:id w:val="147466625"/>
        <w15:color w:val="DBDBDB"/>
        <w:docPartObj>
          <w:docPartGallery w:val="Table of Contents"/>
          <w:docPartUnique/>
        </w:docPartObj>
      </w:sdtPr>
      <w:sdtEndPr>
        <w:rPr>
          <w:rFonts w:hint="eastAsia" w:ascii="微软雅黑" w:hAnsi="微软雅黑" w:eastAsia="微软雅黑" w:cs="微软雅黑"/>
          <w:b/>
          <w:kern w:val="2"/>
          <w:sz w:val="22"/>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微软雅黑" w:hAnsi="微软雅黑" w:eastAsia="微软雅黑" w:cs="微软雅黑"/>
              <w:sz w:val="32"/>
              <w:szCs w:val="32"/>
            </w:rPr>
          </w:pPr>
          <w:r>
            <w:rPr>
              <w:rFonts w:hint="eastAsia" w:ascii="微软雅黑" w:hAnsi="微软雅黑" w:eastAsia="微软雅黑" w:cs="微软雅黑"/>
              <w:b/>
              <w:bCs/>
              <w:sz w:val="32"/>
              <w:szCs w:val="32"/>
            </w:rPr>
            <w:t>目录</w:t>
          </w:r>
        </w:p>
        <w:p>
          <w:pPr>
            <w:pStyle w:val="15"/>
            <w:tabs>
              <w:tab w:val="right" w:leader="dot" w:pos="9430"/>
            </w:tabs>
          </w:pPr>
          <w:r>
            <w:rPr>
              <w:rFonts w:hint="eastAsia" w:ascii="微软雅黑" w:hAnsi="微软雅黑" w:eastAsia="微软雅黑" w:cs="微软雅黑"/>
              <w:sz w:val="22"/>
              <w:szCs w:val="22"/>
            </w:rPr>
            <w:fldChar w:fldCharType="begin"/>
          </w:r>
          <w:r>
            <w:rPr>
              <w:rFonts w:hint="eastAsia" w:ascii="微软雅黑" w:hAnsi="微软雅黑" w:eastAsia="微软雅黑" w:cs="微软雅黑"/>
              <w:sz w:val="22"/>
              <w:szCs w:val="22"/>
            </w:rPr>
            <w:instrText xml:space="preserve">TOC \o "1-2" \h \u </w:instrText>
          </w:r>
          <w:r>
            <w:rPr>
              <w:rFonts w:hint="eastAsia" w:ascii="微软雅黑" w:hAnsi="微软雅黑" w:eastAsia="微软雅黑" w:cs="微软雅黑"/>
              <w:sz w:val="22"/>
              <w:szCs w:val="22"/>
            </w:rPr>
            <w:fldChar w:fldCharType="separate"/>
          </w: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_Toc23607 </w:instrText>
          </w:r>
          <w:r>
            <w:rPr>
              <w:rFonts w:hint="eastAsia" w:ascii="微软雅黑" w:hAnsi="微软雅黑" w:eastAsia="微软雅黑" w:cs="微软雅黑"/>
              <w:szCs w:val="22"/>
            </w:rPr>
            <w:fldChar w:fldCharType="separate"/>
          </w:r>
          <w:r>
            <w:rPr>
              <w:rFonts w:hint="eastAsia" w:ascii="微软雅黑" w:hAnsi="微软雅黑" w:eastAsia="微软雅黑" w:cs="微软雅黑"/>
            </w:rPr>
            <w:t>摘要</w:t>
          </w:r>
          <w:r>
            <w:tab/>
          </w:r>
          <w:r>
            <w:fldChar w:fldCharType="begin"/>
          </w:r>
          <w:r>
            <w:instrText xml:space="preserve"> PAGEREF _Toc23607 \h </w:instrText>
          </w:r>
          <w:r>
            <w:fldChar w:fldCharType="separate"/>
          </w:r>
          <w:r>
            <w:t>4</w:t>
          </w:r>
          <w:r>
            <w:fldChar w:fldCharType="end"/>
          </w:r>
          <w:r>
            <w:rPr>
              <w:rFonts w:hint="eastAsia" w:ascii="微软雅黑" w:hAnsi="微软雅黑" w:eastAsia="微软雅黑" w:cs="微软雅黑"/>
              <w:szCs w:val="22"/>
            </w:rPr>
            <w:fldChar w:fldCharType="end"/>
          </w:r>
        </w:p>
        <w:p>
          <w:pPr>
            <w:pStyle w:val="15"/>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_Toc3481 </w:instrText>
          </w:r>
          <w:r>
            <w:rPr>
              <w:rFonts w:hint="eastAsia" w:ascii="微软雅黑" w:hAnsi="微软雅黑" w:eastAsia="微软雅黑" w:cs="微软雅黑"/>
              <w:szCs w:val="22"/>
            </w:rPr>
            <w:fldChar w:fldCharType="separate"/>
          </w:r>
          <w:r>
            <w:rPr>
              <w:rFonts w:hint="eastAsia" w:ascii="微软雅黑" w:hAnsi="微软雅黑" w:cs="微软雅黑"/>
              <w:lang w:val="en-US" w:eastAsia="zh-CN"/>
            </w:rPr>
            <w:t>一、</w:t>
          </w:r>
          <w:r>
            <w:rPr>
              <w:rFonts w:hint="eastAsia" w:ascii="微软雅黑" w:hAnsi="微软雅黑" w:eastAsia="微软雅黑" w:cs="微软雅黑"/>
            </w:rPr>
            <w:t>宏观动态</w:t>
          </w:r>
          <w:r>
            <w:tab/>
          </w:r>
          <w:r>
            <w:fldChar w:fldCharType="begin"/>
          </w:r>
          <w:r>
            <w:instrText xml:space="preserve"> PAGEREF _Toc3481 \h </w:instrText>
          </w:r>
          <w:r>
            <w:fldChar w:fldCharType="separate"/>
          </w:r>
          <w:r>
            <w:t>5</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_Toc16518 </w:instrText>
          </w:r>
          <w:r>
            <w:rPr>
              <w:rFonts w:hint="eastAsia" w:ascii="微软雅黑" w:hAnsi="微软雅黑" w:eastAsia="微软雅黑" w:cs="微软雅黑"/>
              <w:szCs w:val="22"/>
            </w:rPr>
            <w:fldChar w:fldCharType="separate"/>
          </w:r>
          <w:r>
            <w:rPr>
              <w:rFonts w:hint="eastAsia" w:ascii="微软雅黑" w:hAnsi="微软雅黑" w:eastAsia="微软雅黑" w:cs="微软雅黑"/>
              <w:lang w:val="en-US" w:eastAsia="zh-CN"/>
            </w:rPr>
            <w:t>（一）行业政策</w:t>
          </w:r>
          <w:r>
            <w:tab/>
          </w:r>
          <w:r>
            <w:fldChar w:fldCharType="begin"/>
          </w:r>
          <w:r>
            <w:instrText xml:space="preserve"> PAGEREF _Toc16518 \h </w:instrText>
          </w:r>
          <w:r>
            <w:fldChar w:fldCharType="separate"/>
          </w:r>
          <w:r>
            <w:t>5</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_Toc30899 </w:instrText>
          </w:r>
          <w:r>
            <w:rPr>
              <w:rFonts w:hint="eastAsia" w:ascii="微软雅黑" w:hAnsi="微软雅黑" w:eastAsia="微软雅黑" w:cs="微软雅黑"/>
              <w:szCs w:val="22"/>
            </w:rPr>
            <w:fldChar w:fldCharType="separate"/>
          </w:r>
          <w:r>
            <w:rPr>
              <w:rFonts w:hint="eastAsia" w:ascii="微软雅黑" w:hAnsi="微软雅黑" w:eastAsia="微软雅黑" w:cs="微软雅黑"/>
              <w:bCs/>
              <w:szCs w:val="32"/>
            </w:rPr>
            <w:t>（二）</w:t>
          </w:r>
          <w:r>
            <w:rPr>
              <w:rFonts w:hint="eastAsia" w:ascii="微软雅黑" w:hAnsi="微软雅黑" w:eastAsia="微软雅黑" w:cs="微软雅黑"/>
              <w:lang w:val="en-US" w:eastAsia="zh-CN"/>
            </w:rPr>
            <w:t>经济指数</w:t>
          </w:r>
          <w:r>
            <w:tab/>
          </w:r>
          <w:r>
            <w:fldChar w:fldCharType="begin"/>
          </w:r>
          <w:r>
            <w:instrText xml:space="preserve"> PAGEREF _Toc30899 \h </w:instrText>
          </w:r>
          <w:r>
            <w:fldChar w:fldCharType="separate"/>
          </w:r>
          <w:r>
            <w:t>7</w:t>
          </w:r>
          <w:r>
            <w:fldChar w:fldCharType="end"/>
          </w:r>
          <w:r>
            <w:rPr>
              <w:rFonts w:hint="eastAsia" w:ascii="微软雅黑" w:hAnsi="微软雅黑" w:eastAsia="微软雅黑" w:cs="微软雅黑"/>
              <w:szCs w:val="22"/>
            </w:rPr>
            <w:fldChar w:fldCharType="end"/>
          </w:r>
        </w:p>
        <w:p>
          <w:pPr>
            <w:pStyle w:val="15"/>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_Toc10942 </w:instrText>
          </w:r>
          <w:r>
            <w:rPr>
              <w:rFonts w:hint="eastAsia" w:ascii="微软雅黑" w:hAnsi="微软雅黑" w:eastAsia="微软雅黑" w:cs="微软雅黑"/>
              <w:szCs w:val="22"/>
            </w:rPr>
            <w:fldChar w:fldCharType="separate"/>
          </w:r>
          <w:r>
            <w:rPr>
              <w:rFonts w:hint="eastAsia"/>
              <w:lang w:val="en-US" w:eastAsia="zh-CN"/>
            </w:rPr>
            <w:t>二、</w:t>
          </w:r>
          <w:r>
            <w:rPr>
              <w:rFonts w:hint="eastAsia"/>
            </w:rPr>
            <w:t>半导体产业动态</w:t>
          </w:r>
          <w:r>
            <w:tab/>
          </w:r>
          <w:r>
            <w:fldChar w:fldCharType="begin"/>
          </w:r>
          <w:r>
            <w:instrText xml:space="preserve"> PAGEREF _Toc10942 \h </w:instrText>
          </w:r>
          <w:r>
            <w:fldChar w:fldCharType="separate"/>
          </w:r>
          <w:r>
            <w:t>13</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_Toc23704 </w:instrText>
          </w:r>
          <w:r>
            <w:rPr>
              <w:rFonts w:hint="eastAsia" w:ascii="微软雅黑" w:hAnsi="微软雅黑" w:eastAsia="微软雅黑" w:cs="微软雅黑"/>
              <w:szCs w:val="22"/>
            </w:rPr>
            <w:fldChar w:fldCharType="separate"/>
          </w:r>
          <w:r>
            <w:rPr>
              <w:rFonts w:hint="eastAsia"/>
              <w:szCs w:val="24"/>
              <w:lang w:val="en-US" w:eastAsia="zh-CN"/>
            </w:rPr>
            <w:t>（一）短期影响</w:t>
          </w:r>
          <w:r>
            <w:tab/>
          </w:r>
          <w:r>
            <w:fldChar w:fldCharType="begin"/>
          </w:r>
          <w:r>
            <w:instrText xml:space="preserve"> PAGEREF _Toc23704 \h </w:instrText>
          </w:r>
          <w:r>
            <w:fldChar w:fldCharType="separate"/>
          </w:r>
          <w:r>
            <w:t>14</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_Toc10252 </w:instrText>
          </w:r>
          <w:r>
            <w:rPr>
              <w:rFonts w:hint="eastAsia" w:ascii="微软雅黑" w:hAnsi="微软雅黑" w:eastAsia="微软雅黑" w:cs="微软雅黑"/>
              <w:szCs w:val="22"/>
            </w:rPr>
            <w:fldChar w:fldCharType="separate"/>
          </w:r>
          <w:r>
            <w:rPr>
              <w:rFonts w:hint="eastAsia"/>
              <w:szCs w:val="24"/>
              <w:lang w:val="en-US" w:eastAsia="zh-CN"/>
            </w:rPr>
            <w:t>（二）中期影响</w:t>
          </w:r>
          <w:r>
            <w:tab/>
          </w:r>
          <w:r>
            <w:fldChar w:fldCharType="begin"/>
          </w:r>
          <w:r>
            <w:instrText xml:space="preserve"> PAGEREF _Toc10252 \h </w:instrText>
          </w:r>
          <w:r>
            <w:fldChar w:fldCharType="separate"/>
          </w:r>
          <w:r>
            <w:t>15</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_Toc14293 </w:instrText>
          </w:r>
          <w:r>
            <w:rPr>
              <w:rFonts w:hint="eastAsia" w:ascii="微软雅黑" w:hAnsi="微软雅黑" w:eastAsia="微软雅黑" w:cs="微软雅黑"/>
              <w:szCs w:val="22"/>
            </w:rPr>
            <w:fldChar w:fldCharType="separate"/>
          </w:r>
          <w:r>
            <w:rPr>
              <w:rFonts w:hint="eastAsia"/>
              <w:szCs w:val="24"/>
              <w:lang w:val="en-US" w:eastAsia="zh-CN"/>
            </w:rPr>
            <w:t>（三）长期影响</w:t>
          </w:r>
          <w:r>
            <w:tab/>
          </w:r>
          <w:r>
            <w:fldChar w:fldCharType="begin"/>
          </w:r>
          <w:r>
            <w:instrText xml:space="preserve"> PAGEREF _Toc14293 \h </w:instrText>
          </w:r>
          <w:r>
            <w:fldChar w:fldCharType="separate"/>
          </w:r>
          <w:r>
            <w:t>16</w:t>
          </w:r>
          <w:r>
            <w:fldChar w:fldCharType="end"/>
          </w:r>
          <w:r>
            <w:rPr>
              <w:rFonts w:hint="eastAsia" w:ascii="微软雅黑" w:hAnsi="微软雅黑" w:eastAsia="微软雅黑" w:cs="微软雅黑"/>
              <w:szCs w:val="22"/>
            </w:rPr>
            <w:fldChar w:fldCharType="end"/>
          </w:r>
        </w:p>
        <w:p>
          <w:pPr>
            <w:pStyle w:val="15"/>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_Toc12923 </w:instrText>
          </w:r>
          <w:r>
            <w:rPr>
              <w:rFonts w:hint="eastAsia" w:ascii="微软雅黑" w:hAnsi="微软雅黑" w:eastAsia="微软雅黑" w:cs="微软雅黑"/>
              <w:szCs w:val="22"/>
            </w:rPr>
            <w:fldChar w:fldCharType="separate"/>
          </w:r>
          <w:r>
            <w:rPr>
              <w:rFonts w:hint="eastAsia" w:ascii="微软雅黑" w:hAnsi="微软雅黑" w:cs="微软雅黑"/>
              <w:lang w:val="en-US" w:eastAsia="zh-CN"/>
            </w:rPr>
            <w:t>三、终端市场动态</w:t>
          </w:r>
          <w:r>
            <w:tab/>
          </w:r>
          <w:r>
            <w:fldChar w:fldCharType="begin"/>
          </w:r>
          <w:r>
            <w:instrText xml:space="preserve"> PAGEREF _Toc12923 \h </w:instrText>
          </w:r>
          <w:r>
            <w:fldChar w:fldCharType="separate"/>
          </w:r>
          <w:r>
            <w:t>18</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_Toc826 </w:instrText>
          </w:r>
          <w:r>
            <w:rPr>
              <w:rFonts w:hint="eastAsia" w:ascii="微软雅黑" w:hAnsi="微软雅黑" w:eastAsia="微软雅黑" w:cs="微软雅黑"/>
              <w:szCs w:val="22"/>
            </w:rPr>
            <w:fldChar w:fldCharType="separate"/>
          </w:r>
          <w:r>
            <w:rPr>
              <w:rFonts w:hint="eastAsia" w:ascii="微软雅黑" w:hAnsi="微软雅黑" w:eastAsia="微软雅黑" w:cs="微软雅黑"/>
            </w:rPr>
            <w:t>（一）人工智能</w:t>
          </w:r>
          <w:r>
            <w:tab/>
          </w:r>
          <w:r>
            <w:fldChar w:fldCharType="begin"/>
          </w:r>
          <w:r>
            <w:instrText xml:space="preserve"> PAGEREF _Toc826 \h </w:instrText>
          </w:r>
          <w:r>
            <w:fldChar w:fldCharType="separate"/>
          </w:r>
          <w:r>
            <w:t>19</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_Toc21211 </w:instrText>
          </w:r>
          <w:r>
            <w:rPr>
              <w:rFonts w:hint="eastAsia" w:ascii="微软雅黑" w:hAnsi="微软雅黑" w:eastAsia="微软雅黑" w:cs="微软雅黑"/>
              <w:szCs w:val="22"/>
            </w:rPr>
            <w:fldChar w:fldCharType="separate"/>
          </w:r>
          <w:r>
            <w:rPr>
              <w:rFonts w:hint="eastAsia" w:ascii="微软雅黑" w:hAnsi="微软雅黑" w:eastAsia="微软雅黑" w:cs="微软雅黑"/>
              <w:lang w:val="en-US" w:eastAsia="zh-CN"/>
            </w:rPr>
            <w:t>（二） 新能源</w:t>
          </w:r>
          <w:r>
            <w:tab/>
          </w:r>
          <w:r>
            <w:fldChar w:fldCharType="begin"/>
          </w:r>
          <w:r>
            <w:instrText xml:space="preserve"> PAGEREF _Toc21211 \h </w:instrText>
          </w:r>
          <w:r>
            <w:fldChar w:fldCharType="separate"/>
          </w:r>
          <w:r>
            <w:t>19</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_Toc21130 </w:instrText>
          </w:r>
          <w:r>
            <w:rPr>
              <w:rFonts w:hint="eastAsia" w:ascii="微软雅黑" w:hAnsi="微软雅黑" w:eastAsia="微软雅黑" w:cs="微软雅黑"/>
              <w:szCs w:val="22"/>
            </w:rPr>
            <w:fldChar w:fldCharType="separate"/>
          </w:r>
          <w:r>
            <w:rPr>
              <w:rFonts w:hint="eastAsia" w:ascii="微软雅黑" w:hAnsi="微软雅黑" w:eastAsia="微软雅黑" w:cs="微软雅黑"/>
              <w:lang w:val="en-US" w:eastAsia="zh-CN"/>
            </w:rPr>
            <w:t>（三） 消费电子</w:t>
          </w:r>
          <w:r>
            <w:tab/>
          </w:r>
          <w:r>
            <w:fldChar w:fldCharType="begin"/>
          </w:r>
          <w:r>
            <w:instrText xml:space="preserve"> PAGEREF _Toc21130 \h </w:instrText>
          </w:r>
          <w:r>
            <w:fldChar w:fldCharType="separate"/>
          </w:r>
          <w:r>
            <w:t>19</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_Toc11062 </w:instrText>
          </w:r>
          <w:r>
            <w:rPr>
              <w:rFonts w:hint="eastAsia" w:ascii="微软雅黑" w:hAnsi="微软雅黑" w:eastAsia="微软雅黑" w:cs="微软雅黑"/>
              <w:szCs w:val="22"/>
            </w:rPr>
            <w:fldChar w:fldCharType="separate"/>
          </w:r>
          <w:r>
            <w:rPr>
              <w:rFonts w:hint="eastAsia" w:ascii="微软雅黑" w:hAnsi="微软雅黑" w:eastAsia="微软雅黑" w:cs="微软雅黑"/>
              <w:lang w:val="en-US" w:eastAsia="zh-CN"/>
            </w:rPr>
            <w:t>（四） 工业电子</w:t>
          </w:r>
          <w:r>
            <w:tab/>
          </w:r>
          <w:r>
            <w:fldChar w:fldCharType="begin"/>
          </w:r>
          <w:r>
            <w:instrText xml:space="preserve"> PAGEREF _Toc11062 \h </w:instrText>
          </w:r>
          <w:r>
            <w:fldChar w:fldCharType="separate"/>
          </w:r>
          <w:r>
            <w:t>20</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_Toc28599 </w:instrText>
          </w:r>
          <w:r>
            <w:rPr>
              <w:rFonts w:hint="eastAsia" w:ascii="微软雅黑" w:hAnsi="微软雅黑" w:eastAsia="微软雅黑" w:cs="微软雅黑"/>
              <w:szCs w:val="22"/>
            </w:rPr>
            <w:fldChar w:fldCharType="separate"/>
          </w:r>
          <w:r>
            <w:rPr>
              <w:rFonts w:hint="eastAsia" w:ascii="微软雅黑" w:hAnsi="微软雅黑" w:eastAsia="微软雅黑" w:cs="微软雅黑"/>
              <w:lang w:val="en-US" w:eastAsia="zh-CN"/>
            </w:rPr>
            <w:t>（五） 汽车电子</w:t>
          </w:r>
          <w:r>
            <w:tab/>
          </w:r>
          <w:r>
            <w:fldChar w:fldCharType="begin"/>
          </w:r>
          <w:r>
            <w:instrText xml:space="preserve"> PAGEREF _Toc28599 \h </w:instrText>
          </w:r>
          <w:r>
            <w:fldChar w:fldCharType="separate"/>
          </w:r>
          <w:r>
            <w:t>20</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_Toc30107 </w:instrText>
          </w:r>
          <w:r>
            <w:rPr>
              <w:rFonts w:hint="eastAsia" w:ascii="微软雅黑" w:hAnsi="微软雅黑" w:eastAsia="微软雅黑" w:cs="微软雅黑"/>
              <w:szCs w:val="22"/>
            </w:rPr>
            <w:fldChar w:fldCharType="separate"/>
          </w:r>
          <w:r>
            <w:rPr>
              <w:rFonts w:hint="eastAsia" w:ascii="微软雅黑" w:hAnsi="微软雅黑" w:eastAsia="微软雅黑" w:cs="微软雅黑"/>
              <w:lang w:val="en-US" w:eastAsia="zh-CN"/>
            </w:rPr>
            <w:t>（六） 通信电子</w:t>
          </w:r>
          <w:r>
            <w:tab/>
          </w:r>
          <w:r>
            <w:fldChar w:fldCharType="begin"/>
          </w:r>
          <w:r>
            <w:instrText xml:space="preserve"> PAGEREF _Toc30107 \h </w:instrText>
          </w:r>
          <w:r>
            <w:fldChar w:fldCharType="separate"/>
          </w:r>
          <w:r>
            <w:t>20</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_Toc27880 </w:instrText>
          </w:r>
          <w:r>
            <w:rPr>
              <w:rFonts w:hint="eastAsia" w:ascii="微软雅黑" w:hAnsi="微软雅黑" w:eastAsia="微软雅黑" w:cs="微软雅黑"/>
              <w:szCs w:val="22"/>
            </w:rPr>
            <w:fldChar w:fldCharType="separate"/>
          </w:r>
          <w:r>
            <w:rPr>
              <w:rFonts w:hint="eastAsia" w:ascii="微软雅黑" w:hAnsi="微软雅黑" w:eastAsia="微软雅黑" w:cs="微软雅黑"/>
              <w:lang w:val="en-US" w:eastAsia="zh-CN"/>
            </w:rPr>
            <w:t>（七） 医疗电子</w:t>
          </w:r>
          <w:r>
            <w:tab/>
          </w:r>
          <w:r>
            <w:fldChar w:fldCharType="begin"/>
          </w:r>
          <w:r>
            <w:instrText xml:space="preserve"> PAGEREF _Toc27880 \h </w:instrText>
          </w:r>
          <w:r>
            <w:fldChar w:fldCharType="separate"/>
          </w:r>
          <w:r>
            <w:t>21</w:t>
          </w:r>
          <w:r>
            <w:fldChar w:fldCharType="end"/>
          </w:r>
          <w:r>
            <w:rPr>
              <w:rFonts w:hint="eastAsia" w:ascii="微软雅黑" w:hAnsi="微软雅黑" w:eastAsia="微软雅黑" w:cs="微软雅黑"/>
              <w:szCs w:val="22"/>
            </w:rPr>
            <w:fldChar w:fldCharType="end"/>
          </w:r>
        </w:p>
        <w:p>
          <w:pPr>
            <w:pStyle w:val="15"/>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_Toc8835 </w:instrText>
          </w:r>
          <w:r>
            <w:rPr>
              <w:rFonts w:hint="eastAsia" w:ascii="微软雅黑" w:hAnsi="微软雅黑" w:eastAsia="微软雅黑" w:cs="微软雅黑"/>
              <w:szCs w:val="22"/>
            </w:rPr>
            <w:fldChar w:fldCharType="separate"/>
          </w:r>
          <w:r>
            <w:rPr>
              <w:rFonts w:hint="eastAsia" w:ascii="微软雅黑" w:hAnsi="微软雅黑" w:eastAsia="微软雅黑" w:cs="微软雅黑"/>
            </w:rPr>
            <w:t>四、 重点产品行情</w:t>
          </w:r>
          <w:r>
            <w:tab/>
          </w:r>
          <w:r>
            <w:fldChar w:fldCharType="begin"/>
          </w:r>
          <w:r>
            <w:instrText xml:space="preserve"> PAGEREF _Toc8835 \h </w:instrText>
          </w:r>
          <w:r>
            <w:fldChar w:fldCharType="separate"/>
          </w:r>
          <w:r>
            <w:t>22</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_Toc19427 </w:instrText>
          </w:r>
          <w:r>
            <w:rPr>
              <w:rFonts w:hint="eastAsia" w:ascii="微软雅黑" w:hAnsi="微软雅黑" w:eastAsia="微软雅黑" w:cs="微软雅黑"/>
              <w:szCs w:val="22"/>
            </w:rPr>
            <w:fldChar w:fldCharType="separate"/>
          </w:r>
          <w:r>
            <w:rPr>
              <w:rFonts w:hint="eastAsia" w:ascii="微软雅黑" w:hAnsi="微软雅黑" w:eastAsia="微软雅黑" w:cs="微软雅黑"/>
              <w:szCs w:val="24"/>
            </w:rPr>
            <w:t xml:space="preserve">（一） </w:t>
          </w:r>
          <w:r>
            <w:rPr>
              <w:rFonts w:hint="eastAsia" w:ascii="微软雅黑" w:hAnsi="微软雅黑" w:eastAsia="微软雅黑" w:cs="微软雅黑"/>
            </w:rPr>
            <w:t>存储芯片</w:t>
          </w:r>
          <w:r>
            <w:tab/>
          </w:r>
          <w:r>
            <w:fldChar w:fldCharType="begin"/>
          </w:r>
          <w:r>
            <w:instrText xml:space="preserve"> PAGEREF _Toc19427 \h </w:instrText>
          </w:r>
          <w:r>
            <w:fldChar w:fldCharType="separate"/>
          </w:r>
          <w:r>
            <w:t>22</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_Toc23324 </w:instrText>
          </w:r>
          <w:r>
            <w:rPr>
              <w:rFonts w:hint="eastAsia" w:ascii="微软雅黑" w:hAnsi="微软雅黑" w:eastAsia="微软雅黑" w:cs="微软雅黑"/>
              <w:szCs w:val="22"/>
            </w:rPr>
            <w:fldChar w:fldCharType="separate"/>
          </w:r>
          <w:r>
            <w:rPr>
              <w:rFonts w:hint="eastAsia" w:ascii="微软雅黑" w:hAnsi="微软雅黑" w:eastAsia="微软雅黑" w:cs="微软雅黑"/>
              <w:szCs w:val="24"/>
            </w:rPr>
            <w:t xml:space="preserve">（二） </w:t>
          </w:r>
          <w:r>
            <w:rPr>
              <w:rFonts w:hint="eastAsia" w:ascii="微软雅黑" w:hAnsi="微软雅黑" w:cs="微软雅黑"/>
              <w:lang w:val="en-US" w:eastAsia="zh-CN"/>
            </w:rPr>
            <w:t>MCU</w:t>
          </w:r>
          <w:r>
            <w:tab/>
          </w:r>
          <w:r>
            <w:fldChar w:fldCharType="begin"/>
          </w:r>
          <w:r>
            <w:instrText xml:space="preserve"> PAGEREF _Toc23324 \h </w:instrText>
          </w:r>
          <w:r>
            <w:fldChar w:fldCharType="separate"/>
          </w:r>
          <w:r>
            <w:t>23</w:t>
          </w:r>
          <w:r>
            <w:fldChar w:fldCharType="end"/>
          </w:r>
          <w:r>
            <w:rPr>
              <w:rFonts w:hint="eastAsia" w:ascii="微软雅黑" w:hAnsi="微软雅黑" w:eastAsia="微软雅黑" w:cs="微软雅黑"/>
              <w:szCs w:val="22"/>
            </w:rPr>
            <w:fldChar w:fldCharType="end"/>
          </w:r>
        </w:p>
        <w:p>
          <w:pPr>
            <w:pStyle w:val="16"/>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_Toc3473 </w:instrText>
          </w:r>
          <w:r>
            <w:rPr>
              <w:rFonts w:hint="eastAsia" w:ascii="微软雅黑" w:hAnsi="微软雅黑" w:eastAsia="微软雅黑" w:cs="微软雅黑"/>
              <w:szCs w:val="22"/>
            </w:rPr>
            <w:fldChar w:fldCharType="separate"/>
          </w:r>
          <w:r>
            <w:rPr>
              <w:rFonts w:hint="eastAsia" w:ascii="微软雅黑" w:hAnsi="微软雅黑" w:eastAsia="微软雅黑" w:cs="微软雅黑"/>
              <w:szCs w:val="24"/>
            </w:rPr>
            <w:t xml:space="preserve">（三） </w:t>
          </w:r>
          <w:r>
            <w:rPr>
              <w:rFonts w:hint="eastAsia" w:ascii="微软雅黑" w:hAnsi="微软雅黑" w:cs="微软雅黑"/>
              <w:lang w:val="en-US" w:eastAsia="zh-CN"/>
            </w:rPr>
            <w:t>CPU</w:t>
          </w:r>
          <w:r>
            <w:tab/>
          </w:r>
          <w:r>
            <w:fldChar w:fldCharType="begin"/>
          </w:r>
          <w:r>
            <w:instrText xml:space="preserve"> PAGEREF _Toc3473 \h </w:instrText>
          </w:r>
          <w:r>
            <w:fldChar w:fldCharType="separate"/>
          </w:r>
          <w:r>
            <w:t>24</w:t>
          </w:r>
          <w:r>
            <w:fldChar w:fldCharType="end"/>
          </w:r>
          <w:r>
            <w:rPr>
              <w:rFonts w:hint="eastAsia" w:ascii="微软雅黑" w:hAnsi="微软雅黑" w:eastAsia="微软雅黑" w:cs="微软雅黑"/>
              <w:szCs w:val="22"/>
            </w:rPr>
            <w:fldChar w:fldCharType="end"/>
          </w:r>
        </w:p>
        <w:p>
          <w:pPr>
            <w:pStyle w:val="15"/>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_Toc3908 </w:instrText>
          </w:r>
          <w:r>
            <w:rPr>
              <w:rFonts w:hint="eastAsia" w:ascii="微软雅黑" w:hAnsi="微软雅黑" w:eastAsia="微软雅黑" w:cs="微软雅黑"/>
              <w:szCs w:val="22"/>
            </w:rPr>
            <w:fldChar w:fldCharType="separate"/>
          </w:r>
          <w:r>
            <w:rPr>
              <w:rFonts w:hint="eastAsia" w:ascii="微软雅黑" w:hAnsi="微软雅黑" w:eastAsia="微软雅黑" w:cs="微软雅黑"/>
              <w:szCs w:val="28"/>
            </w:rPr>
            <w:t>信息来源</w:t>
          </w:r>
          <w:r>
            <w:tab/>
          </w:r>
          <w:r>
            <w:fldChar w:fldCharType="begin"/>
          </w:r>
          <w:r>
            <w:instrText xml:space="preserve"> PAGEREF _Toc3908 \h </w:instrText>
          </w:r>
          <w:r>
            <w:fldChar w:fldCharType="separate"/>
          </w:r>
          <w:r>
            <w:t>26</w:t>
          </w:r>
          <w:r>
            <w:fldChar w:fldCharType="end"/>
          </w:r>
          <w:r>
            <w:rPr>
              <w:rFonts w:hint="eastAsia" w:ascii="微软雅黑" w:hAnsi="微软雅黑" w:eastAsia="微软雅黑" w:cs="微软雅黑"/>
              <w:szCs w:val="22"/>
            </w:rPr>
            <w:fldChar w:fldCharType="end"/>
          </w:r>
        </w:p>
        <w:p>
          <w:pPr>
            <w:pStyle w:val="15"/>
            <w:tabs>
              <w:tab w:val="right" w:leader="dot" w:pos="9430"/>
            </w:tabs>
          </w:pPr>
          <w:r>
            <w:rPr>
              <w:rFonts w:hint="eastAsia" w:ascii="微软雅黑" w:hAnsi="微软雅黑" w:eastAsia="微软雅黑" w:cs="微软雅黑"/>
              <w:szCs w:val="22"/>
            </w:rPr>
            <w:fldChar w:fldCharType="begin"/>
          </w:r>
          <w:r>
            <w:rPr>
              <w:rFonts w:hint="eastAsia" w:ascii="微软雅黑" w:hAnsi="微软雅黑" w:eastAsia="微软雅黑" w:cs="微软雅黑"/>
              <w:szCs w:val="22"/>
            </w:rPr>
            <w:instrText xml:space="preserve"> HYPERLINK \l _Toc21160 </w:instrText>
          </w:r>
          <w:r>
            <w:rPr>
              <w:rFonts w:hint="eastAsia" w:ascii="微软雅黑" w:hAnsi="微软雅黑" w:eastAsia="微软雅黑" w:cs="微软雅黑"/>
              <w:szCs w:val="22"/>
            </w:rPr>
            <w:fldChar w:fldCharType="separate"/>
          </w:r>
          <w:r>
            <w:rPr>
              <w:rFonts w:hint="eastAsia" w:ascii="微软雅黑" w:hAnsi="微软雅黑" w:eastAsia="微软雅黑" w:cs="微软雅黑"/>
              <w:bCs/>
              <w:szCs w:val="40"/>
            </w:rPr>
            <w:t>免责声明</w:t>
          </w:r>
          <w:r>
            <w:tab/>
          </w:r>
          <w:r>
            <w:fldChar w:fldCharType="begin"/>
          </w:r>
          <w:r>
            <w:instrText xml:space="preserve"> PAGEREF _Toc21160 \h </w:instrText>
          </w:r>
          <w:r>
            <w:fldChar w:fldCharType="separate"/>
          </w:r>
          <w:r>
            <w:t>29</w:t>
          </w:r>
          <w:r>
            <w:fldChar w:fldCharType="end"/>
          </w:r>
          <w:r>
            <w:rPr>
              <w:rFonts w:hint="eastAsia" w:ascii="微软雅黑" w:hAnsi="微软雅黑" w:eastAsia="微软雅黑" w:cs="微软雅黑"/>
              <w:szCs w:val="22"/>
            </w:rPr>
            <w:fldChar w:fldCharType="end"/>
          </w:r>
        </w:p>
        <w:p>
          <w:pPr>
            <w:rPr>
              <w:rFonts w:hint="eastAsia" w:ascii="微软雅黑" w:hAnsi="微软雅黑" w:eastAsia="微软雅黑" w:cs="微软雅黑"/>
            </w:rPr>
          </w:pPr>
          <w:r>
            <w:rPr>
              <w:rFonts w:hint="eastAsia" w:ascii="微软雅黑" w:hAnsi="微软雅黑" w:eastAsia="微软雅黑" w:cs="微软雅黑"/>
              <w:szCs w:val="22"/>
            </w:rPr>
            <w:fldChar w:fldCharType="end"/>
          </w:r>
        </w:p>
      </w:sdtContent>
    </w:sdt>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bookmarkStart w:id="0" w:name="_Toc20089"/>
    </w:p>
    <w:p>
      <w:pPr>
        <w:pStyle w:val="2"/>
        <w:keepNext/>
        <w:keepLines/>
        <w:pageBreakBefore w:val="0"/>
        <w:widowControl w:val="0"/>
        <w:numPr>
          <w:ilvl w:val="0"/>
          <w:numId w:val="0"/>
        </w:numPr>
        <w:kinsoku/>
        <w:wordWrap/>
        <w:overflowPunct/>
        <w:topLinePunct w:val="0"/>
        <w:autoSpaceDE/>
        <w:autoSpaceDN/>
        <w:bidi w:val="0"/>
        <w:adjustRightInd/>
        <w:snapToGrid/>
        <w:spacing w:line="240" w:lineRule="atLeast"/>
        <w:ind w:leftChars="0"/>
        <w:jc w:val="center"/>
        <w:textAlignment w:val="auto"/>
        <w:rPr>
          <w:rFonts w:hint="eastAsia" w:ascii="微软雅黑" w:hAnsi="微软雅黑" w:eastAsia="微软雅黑" w:cs="微软雅黑"/>
        </w:rPr>
      </w:pPr>
      <w:bookmarkStart w:id="1" w:name="_Toc23607"/>
      <w:r>
        <w:rPr>
          <w:rFonts w:hint="eastAsia" w:ascii="微软雅黑" w:hAnsi="微软雅黑" w:eastAsia="微软雅黑" w:cs="微软雅黑"/>
        </w:rPr>
        <w:t>摘要</w:t>
      </w:r>
      <w:bookmarkEnd w:id="0"/>
      <w:bookmarkEnd w:id="1"/>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7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2" w:type="dxa"/>
            <w:gridSpan w:val="2"/>
            <w:tcBorders>
              <w:bottom w:val="single" w:color="7E7E7E" w:themeColor="background1" w:themeShade="7F" w:sz="4" w:space="0"/>
            </w:tcBorders>
            <w:shd w:val="clear" w:color="auto" w:fill="571672"/>
            <w:vAlign w:val="center"/>
          </w:tcPr>
          <w:p>
            <w:pPr>
              <w:spacing w:line="400" w:lineRule="exact"/>
              <w:ind w:firstLine="240"/>
              <w:jc w:val="center"/>
              <w:rPr>
                <w:rFonts w:hint="eastAsia" w:ascii="微软雅黑" w:hAnsi="微软雅黑" w:eastAsia="微软雅黑" w:cs="微软雅黑"/>
                <w:b/>
                <w:bCs/>
                <w:color w:val="FFFFFF" w:themeColor="background1"/>
                <w:sz w:val="24"/>
                <w:szCs w:val="32"/>
                <w14:textFill>
                  <w14:solidFill>
                    <w14:schemeClr w14:val="bg1"/>
                  </w14:solidFill>
                </w14:textFill>
              </w:rPr>
            </w:pPr>
            <w:r>
              <w:rPr>
                <w:rFonts w:hint="eastAsia" w:ascii="微软雅黑" w:hAnsi="微软雅黑" w:eastAsia="微软雅黑" w:cs="微软雅黑"/>
                <w:b/>
                <w:bCs/>
                <w:color w:val="FFFFFF" w:themeColor="background1"/>
                <w:sz w:val="22"/>
                <w:szCs w:val="22"/>
                <w14:textFill>
                  <w14:solidFill>
                    <w14:schemeClr w14:val="bg1"/>
                  </w14:solidFill>
                </w14:textFill>
              </w:rPr>
              <w:t>202</w:t>
            </w:r>
            <w:r>
              <w:rPr>
                <w:rFonts w:hint="eastAsia" w:ascii="微软雅黑" w:hAnsi="微软雅黑" w:eastAsia="微软雅黑" w:cs="微软雅黑"/>
                <w:b/>
                <w:bCs/>
                <w:color w:val="FFFFFF" w:themeColor="background1"/>
                <w:sz w:val="22"/>
                <w:szCs w:val="22"/>
                <w:lang w:val="en-US" w:eastAsia="zh-CN"/>
                <w14:textFill>
                  <w14:solidFill>
                    <w14:schemeClr w14:val="bg1"/>
                  </w14:solidFill>
                </w14:textFill>
              </w:rPr>
              <w:t>5</w:t>
            </w:r>
            <w:r>
              <w:rPr>
                <w:rFonts w:hint="eastAsia" w:ascii="微软雅黑" w:hAnsi="微软雅黑" w:eastAsia="微软雅黑" w:cs="微软雅黑"/>
                <w:b/>
                <w:bCs/>
                <w:color w:val="FFFFFF" w:themeColor="background1"/>
                <w:sz w:val="22"/>
                <w:szCs w:val="22"/>
                <w14:textFill>
                  <w14:solidFill>
                    <w14:schemeClr w14:val="bg1"/>
                  </w14:solidFill>
                </w14:textFill>
              </w:rPr>
              <w:t>年</w:t>
            </w:r>
            <w:r>
              <w:rPr>
                <w:rFonts w:hint="eastAsia" w:ascii="微软雅黑" w:hAnsi="微软雅黑" w:cs="微软雅黑"/>
                <w:b/>
                <w:bCs/>
                <w:color w:val="FFFFFF" w:themeColor="background1"/>
                <w:sz w:val="22"/>
                <w:szCs w:val="22"/>
                <w:lang w:val="en-US" w:eastAsia="zh-CN"/>
                <w14:textFill>
                  <w14:solidFill>
                    <w14:schemeClr w14:val="bg1"/>
                  </w14:solidFill>
                </w14:textFill>
              </w:rPr>
              <w:t>9</w:t>
            </w:r>
            <w:r>
              <w:rPr>
                <w:rFonts w:hint="eastAsia" w:ascii="微软雅黑" w:hAnsi="微软雅黑" w:eastAsia="微软雅黑" w:cs="微软雅黑"/>
                <w:b/>
                <w:bCs/>
                <w:color w:val="FFFFFF" w:themeColor="background1"/>
                <w:sz w:val="22"/>
                <w:szCs w:val="22"/>
                <w14:textFill>
                  <w14:solidFill>
                    <w14:schemeClr w14:val="bg1"/>
                  </w14:solidFill>
                </w14:textFill>
              </w:rPr>
              <w:t>月重点行情趋势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Borders>
              <w:top w:val="single" w:color="7E7E7E" w:themeColor="background1" w:themeShade="7F" w:sz="4" w:space="0"/>
              <w:left w:val="single" w:color="7E7E7E" w:themeColor="background1" w:themeShade="7F" w:sz="4" w:space="0"/>
              <w:bottom w:val="single" w:color="7E7E7E" w:themeColor="background1" w:themeShade="7F" w:sz="4" w:space="0"/>
              <w:right w:val="single" w:color="7E7E7E" w:themeColor="background1" w:themeShade="7F" w:sz="4" w:space="0"/>
            </w:tcBorders>
            <w:vAlign w:val="center"/>
          </w:tcPr>
          <w:p>
            <w:pPr>
              <w:spacing w:line="40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rPr>
              <w:t>宏观</w:t>
            </w:r>
            <w:r>
              <w:rPr>
                <w:rFonts w:hint="eastAsia" w:ascii="微软雅黑" w:hAnsi="微软雅黑" w:eastAsia="微软雅黑" w:cs="微软雅黑"/>
                <w:sz w:val="20"/>
                <w:szCs w:val="20"/>
                <w:lang w:val="en-US" w:eastAsia="zh-CN"/>
              </w:rPr>
              <w:t>动态</w:t>
            </w:r>
          </w:p>
        </w:tc>
        <w:tc>
          <w:tcPr>
            <w:tcW w:w="7791" w:type="dxa"/>
            <w:tcBorders>
              <w:top w:val="single" w:color="7E7E7E" w:themeColor="background1" w:themeShade="7F" w:sz="4" w:space="0"/>
              <w:left w:val="single" w:color="7E7E7E" w:themeColor="background1" w:themeShade="7F" w:sz="4" w:space="0"/>
              <w:bottom w:val="single" w:color="7E7E7E" w:themeColor="background1" w:themeShade="7F" w:sz="4" w:space="0"/>
              <w:right w:val="single" w:color="7E7E7E" w:themeColor="background1" w:themeShade="7F" w:sz="4" w:space="0"/>
            </w:tcBorders>
            <w:vAlign w:val="top"/>
          </w:tcPr>
          <w:p>
            <w:pPr>
              <w:pStyle w:val="25"/>
              <w:numPr>
                <w:ilvl w:val="0"/>
                <w:numId w:val="2"/>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rPr>
              <w:t>美国：关税与出口管制同步收紧，科技与高附加值产业面临制度性风险</w:t>
            </w:r>
          </w:p>
          <w:p>
            <w:pPr>
              <w:pStyle w:val="25"/>
              <w:numPr>
                <w:ilvl w:val="0"/>
                <w:numId w:val="2"/>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rPr>
              <w:t>美国：美国政府注资英特尔 89 亿美元，取得约 9.9% 被动股份推进国内半导体领导地位</w:t>
            </w:r>
          </w:p>
          <w:p>
            <w:pPr>
              <w:pStyle w:val="25"/>
              <w:numPr>
                <w:ilvl w:val="0"/>
                <w:numId w:val="2"/>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rPr>
              <w:t>日本：大手内存项目获巨额补贴，锁定高阶内存与先进封装能力</w:t>
            </w:r>
          </w:p>
          <w:p>
            <w:pPr>
              <w:pStyle w:val="25"/>
              <w:numPr>
                <w:ilvl w:val="0"/>
                <w:numId w:val="2"/>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rPr>
              <w:t>韩国：出口结构中半导体成为拉动项，政府拟推支援政策应对外部关税压力</w:t>
            </w:r>
          </w:p>
          <w:p>
            <w:pPr>
              <w:pStyle w:val="25"/>
              <w:numPr>
                <w:ilvl w:val="0"/>
                <w:numId w:val="2"/>
              </w:numPr>
              <w:spacing w:line="400" w:lineRule="exact"/>
              <w:ind w:left="440" w:leftChars="0" w:firstLine="210" w:firstLineChars="0"/>
              <w:jc w:val="left"/>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sz w:val="20"/>
                <w:szCs w:val="20"/>
              </w:rPr>
              <w:t>中国：监管趋严、采购合规与国产替代并行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Borders>
              <w:top w:val="single" w:color="7E7E7E" w:themeColor="background1" w:themeShade="7F" w:sz="4" w:space="0"/>
              <w:left w:val="single" w:color="7E7E7E" w:themeColor="background1" w:themeShade="7F" w:sz="4" w:space="0"/>
              <w:bottom w:val="single" w:color="7E7E7E" w:themeColor="background1" w:themeShade="7F" w:sz="4" w:space="0"/>
              <w:right w:val="single" w:color="7E7E7E" w:themeColor="background1" w:themeShade="7F" w:sz="4" w:space="0"/>
            </w:tcBorders>
            <w:vAlign w:val="center"/>
          </w:tcPr>
          <w:p>
            <w:pPr>
              <w:spacing w:line="400" w:lineRule="exact"/>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产业动态</w:t>
            </w:r>
          </w:p>
        </w:tc>
        <w:tc>
          <w:tcPr>
            <w:tcW w:w="7791" w:type="dxa"/>
            <w:tcBorders>
              <w:top w:val="single" w:color="7E7E7E" w:themeColor="background1" w:themeShade="7F" w:sz="4" w:space="0"/>
              <w:left w:val="single" w:color="7E7E7E" w:themeColor="background1" w:themeShade="7F" w:sz="4" w:space="0"/>
              <w:bottom w:val="single" w:color="7E7E7E" w:themeColor="background1" w:themeShade="7F" w:sz="4" w:space="0"/>
              <w:right w:val="single" w:color="7E7E7E" w:themeColor="background1" w:themeShade="7F" w:sz="4" w:space="0"/>
            </w:tcBorders>
            <w:vAlign w:val="top"/>
          </w:tcPr>
          <w:p>
            <w:pPr>
              <w:pStyle w:val="25"/>
              <w:numPr>
                <w:ilvl w:val="0"/>
                <w:numId w:val="3"/>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rPr>
              <w:t>短期影响：三星电子/美光DRAM/NAND 合约价大幅上涨；英伟达/英特尔股权合作与共建 AI / x86 平台；美光发布2025财年第四财季财报并指引业绩增长；亚德诺发布2025财年第三财季财报并超预期增长；SK海力士就AI驱动的内存短缺与客户进行价格调整谈判</w:t>
            </w:r>
          </w:p>
          <w:p>
            <w:pPr>
              <w:pStyle w:val="25"/>
              <w:numPr>
                <w:ilvl w:val="0"/>
                <w:numId w:val="3"/>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rPr>
              <w:t>中期影响：博通获10亿美元AI芯片大订单；Microchip与Deca/SST宣布NVM芯片小核合作；兆易创新与普华基础软件达成战略合作；芯海科技发布2025年中报营收增长并聚焦AI全栈解决方案；瑞萨推出新一代高性能电机控制MCU (RA8T2)</w:t>
            </w:r>
            <w:r>
              <w:rPr>
                <w:rFonts w:hint="eastAsia" w:ascii="微软雅黑" w:hAnsi="微软雅黑" w:cs="微软雅黑"/>
                <w:sz w:val="20"/>
                <w:szCs w:val="20"/>
                <w:lang w:eastAsia="zh-CN"/>
              </w:rPr>
              <w:t>；摩尔线程IPO 成功过会，引入 80 亿元资本推动 AI / GPU / SoC 研发</w:t>
            </w:r>
          </w:p>
          <w:p>
            <w:pPr>
              <w:pStyle w:val="25"/>
              <w:numPr>
                <w:ilvl w:val="0"/>
                <w:numId w:val="3"/>
              </w:numPr>
              <w:spacing w:line="400" w:lineRule="exact"/>
              <w:ind w:left="440" w:leftChars="0" w:firstLine="210" w:firstLineChars="0"/>
              <w:jc w:val="left"/>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sz w:val="20"/>
                <w:szCs w:val="20"/>
              </w:rPr>
              <w:t>长期影响：SK海力士完成世界首个HBM4开发并启动量产；台积电启动1.4纳米制程新厂建设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Borders>
              <w:top w:val="single" w:color="7E7E7E" w:themeColor="background1" w:themeShade="7F" w:sz="4" w:space="0"/>
              <w:left w:val="single" w:color="7E7E7E" w:themeColor="background1" w:themeShade="7F" w:sz="4" w:space="0"/>
              <w:bottom w:val="single" w:color="7E7E7E" w:themeColor="background1" w:themeShade="7F" w:sz="4" w:space="0"/>
              <w:right w:val="single" w:color="7E7E7E" w:themeColor="background1" w:themeShade="7F" w:sz="4" w:space="0"/>
            </w:tcBorders>
            <w:vAlign w:val="center"/>
          </w:tcPr>
          <w:p>
            <w:pPr>
              <w:spacing w:line="400" w:lineRule="exact"/>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终端市场</w:t>
            </w:r>
          </w:p>
        </w:tc>
        <w:tc>
          <w:tcPr>
            <w:tcW w:w="7791" w:type="dxa"/>
            <w:tcBorders>
              <w:top w:val="single" w:color="7E7E7E" w:themeColor="background1" w:themeShade="7F" w:sz="4" w:space="0"/>
              <w:left w:val="single" w:color="7E7E7E" w:themeColor="background1" w:themeShade="7F" w:sz="4" w:space="0"/>
              <w:bottom w:val="single" w:color="7E7E7E" w:themeColor="background1" w:themeShade="7F" w:sz="4" w:space="0"/>
              <w:right w:val="single" w:color="7E7E7E" w:themeColor="background1" w:themeShade="7F" w:sz="4" w:space="0"/>
            </w:tcBorders>
          </w:tcPr>
          <w:p>
            <w:pPr>
              <w:pStyle w:val="25"/>
              <w:numPr>
                <w:ilvl w:val="0"/>
                <w:numId w:val="3"/>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人工智能</w:t>
            </w:r>
            <w:r>
              <w:rPr>
                <w:rFonts w:hint="eastAsia" w:ascii="微软雅黑" w:hAnsi="微软雅黑" w:cs="微软雅黑"/>
                <w:sz w:val="20"/>
                <w:szCs w:val="20"/>
                <w:lang w:val="en-US" w:eastAsia="zh-CN"/>
              </w:rPr>
              <w:t>：</w:t>
            </w:r>
            <w:r>
              <w:rPr>
                <w:rFonts w:hint="eastAsia" w:ascii="微软雅黑" w:hAnsi="微软雅黑" w:cs="微软雅黑"/>
                <w:sz w:val="20"/>
                <w:szCs w:val="20"/>
                <w:lang w:eastAsia="zh-CN"/>
              </w:rPr>
              <w:t>英伟达拟投资OpenAI达1000亿美元，扩建AI数据中心</w:t>
            </w:r>
          </w:p>
          <w:p>
            <w:pPr>
              <w:pStyle w:val="25"/>
              <w:numPr>
                <w:ilvl w:val="0"/>
                <w:numId w:val="3"/>
              </w:numPr>
              <w:spacing w:line="400" w:lineRule="exact"/>
              <w:ind w:firstLine="210"/>
              <w:jc w:val="left"/>
              <w:rPr>
                <w:rFonts w:hint="eastAsia" w:ascii="微软雅黑" w:hAnsi="微软雅黑" w:eastAsia="微软雅黑" w:cs="微软雅黑"/>
                <w:sz w:val="20"/>
                <w:szCs w:val="20"/>
              </w:rPr>
            </w:pPr>
            <w:r>
              <w:rPr>
                <w:rFonts w:hint="eastAsia" w:ascii="微软雅黑" w:hAnsi="微软雅黑" w:cs="微软雅黑"/>
                <w:sz w:val="20"/>
                <w:szCs w:val="20"/>
                <w:lang w:val="en-US" w:eastAsia="zh-CN"/>
              </w:rPr>
              <w:t>新能源：</w:t>
            </w:r>
            <w:r>
              <w:rPr>
                <w:rFonts w:hint="eastAsia" w:ascii="微软雅黑" w:hAnsi="微软雅黑" w:eastAsia="微软雅黑" w:cs="微软雅黑"/>
                <w:sz w:val="20"/>
                <w:szCs w:val="20"/>
              </w:rPr>
              <w:t>特斯拉获准在亚利桑那州进行自动驾驶汽车测试</w:t>
            </w:r>
          </w:p>
          <w:p>
            <w:pPr>
              <w:pStyle w:val="25"/>
              <w:numPr>
                <w:ilvl w:val="0"/>
                <w:numId w:val="3"/>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消费电子</w:t>
            </w:r>
            <w:r>
              <w:rPr>
                <w:rFonts w:hint="eastAsia" w:ascii="微软雅黑" w:hAnsi="微软雅黑" w:eastAsia="微软雅黑" w:cs="微软雅黑"/>
                <w:sz w:val="20"/>
                <w:szCs w:val="20"/>
              </w:rPr>
              <w:t>：苹果秋季发布会如期推出iPhone17系列</w:t>
            </w:r>
          </w:p>
          <w:p>
            <w:pPr>
              <w:pStyle w:val="25"/>
              <w:numPr>
                <w:ilvl w:val="0"/>
                <w:numId w:val="3"/>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rPr>
              <w:t>工业电子</w:t>
            </w:r>
            <w:r>
              <w:rPr>
                <w:rFonts w:hint="eastAsia" w:ascii="微软雅黑" w:hAnsi="微软雅黑" w:eastAsia="微软雅黑" w:cs="微软雅黑"/>
                <w:sz w:val="20"/>
                <w:szCs w:val="20"/>
                <w:lang w:eastAsia="zh-CN"/>
              </w:rPr>
              <w:t>：汇川四大架构重磅发布，重构智能制造底层逻辑</w:t>
            </w:r>
          </w:p>
          <w:p>
            <w:pPr>
              <w:pStyle w:val="25"/>
              <w:numPr>
                <w:ilvl w:val="0"/>
                <w:numId w:val="3"/>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汽车电子</w:t>
            </w:r>
            <w:r>
              <w:rPr>
                <w:rFonts w:hint="eastAsia" w:ascii="微软雅黑" w:hAnsi="微软雅黑" w:cs="微软雅黑"/>
                <w:sz w:val="20"/>
                <w:szCs w:val="20"/>
                <w:lang w:val="en-US" w:eastAsia="zh-CN"/>
              </w:rPr>
              <w:t>：长城V6火炮正式上市，搭载3.0T V6双涡轮动力</w:t>
            </w:r>
          </w:p>
          <w:p>
            <w:pPr>
              <w:pStyle w:val="25"/>
              <w:numPr>
                <w:ilvl w:val="0"/>
                <w:numId w:val="3"/>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通信电子：</w:t>
            </w:r>
            <w:r>
              <w:rPr>
                <w:rFonts w:hint="eastAsia" w:ascii="微软雅黑" w:hAnsi="微软雅黑" w:cs="微软雅黑"/>
                <w:sz w:val="20"/>
                <w:szCs w:val="20"/>
                <w:lang w:val="en-US" w:eastAsia="zh-CN"/>
              </w:rPr>
              <w:t>中国</w:t>
            </w:r>
            <w:r>
              <w:rPr>
                <w:rFonts w:hint="eastAsia" w:ascii="微软雅黑" w:hAnsi="微软雅黑" w:eastAsia="微软雅黑" w:cs="微软雅黑"/>
                <w:sz w:val="20"/>
                <w:szCs w:val="20"/>
                <w:lang w:val="en-US" w:eastAsia="zh-CN"/>
              </w:rPr>
              <w:t>三大运营商均已布局eSIM手机业务</w:t>
            </w:r>
          </w:p>
          <w:p>
            <w:pPr>
              <w:pStyle w:val="25"/>
              <w:numPr>
                <w:ilvl w:val="0"/>
                <w:numId w:val="3"/>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医疗电子：飞利浦&amp;Masimo宣布创新合作，推进患者监护测量技术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Borders>
              <w:top w:val="single" w:color="7E7E7E" w:themeColor="background1" w:themeShade="7F" w:sz="4" w:space="0"/>
              <w:left w:val="single" w:color="7E7E7E" w:themeColor="background1" w:themeShade="7F" w:sz="4" w:space="0"/>
              <w:bottom w:val="single" w:color="7E7E7E" w:themeColor="background1" w:themeShade="7F" w:sz="4" w:space="0"/>
              <w:right w:val="single" w:color="7E7E7E" w:themeColor="background1" w:themeShade="7F" w:sz="4" w:space="0"/>
            </w:tcBorders>
            <w:vAlign w:val="center"/>
          </w:tcPr>
          <w:p>
            <w:pPr>
              <w:spacing w:line="400" w:lineRule="exact"/>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产品行情</w:t>
            </w:r>
          </w:p>
        </w:tc>
        <w:tc>
          <w:tcPr>
            <w:tcW w:w="7791" w:type="dxa"/>
            <w:tcBorders>
              <w:top w:val="single" w:color="7E7E7E" w:themeColor="background1" w:themeShade="7F" w:sz="4" w:space="0"/>
              <w:left w:val="single" w:color="7E7E7E" w:themeColor="background1" w:themeShade="7F" w:sz="4" w:space="0"/>
              <w:bottom w:val="single" w:color="7E7E7E" w:themeColor="background1" w:themeShade="7F" w:sz="4" w:space="0"/>
              <w:right w:val="single" w:color="7E7E7E" w:themeColor="background1" w:themeShade="7F" w:sz="4" w:space="0"/>
            </w:tcBorders>
          </w:tcPr>
          <w:p>
            <w:pPr>
              <w:pStyle w:val="25"/>
              <w:numPr>
                <w:ilvl w:val="0"/>
                <w:numId w:val="4"/>
              </w:numPr>
              <w:spacing w:line="400" w:lineRule="exact"/>
              <w:ind w:firstLine="210"/>
              <w:jc w:val="left"/>
              <w:rPr>
                <w:rFonts w:hint="eastAsia" w:ascii="微软雅黑" w:hAnsi="微软雅黑" w:eastAsia="微软雅黑" w:cs="微软雅黑"/>
                <w:sz w:val="20"/>
                <w:szCs w:val="20"/>
              </w:rPr>
            </w:pPr>
            <w:r>
              <w:rPr>
                <w:rFonts w:hint="eastAsia" w:ascii="微软雅黑" w:hAnsi="微软雅黑" w:eastAsia="微软雅黑" w:cs="微软雅黑"/>
                <w:sz w:val="20"/>
                <w:szCs w:val="20"/>
              </w:rPr>
              <w:t>需求致行业价格普涨，AI端侧存储解决方案加速迭代</w:t>
            </w:r>
          </w:p>
          <w:p>
            <w:pPr>
              <w:pStyle w:val="25"/>
              <w:numPr>
                <w:ilvl w:val="0"/>
                <w:numId w:val="4"/>
              </w:numPr>
              <w:spacing w:line="400" w:lineRule="exact"/>
              <w:ind w:firstLine="210"/>
              <w:jc w:val="left"/>
              <w:rPr>
                <w:rFonts w:hint="eastAsia" w:ascii="微软雅黑" w:hAnsi="微软雅黑" w:eastAsia="微软雅黑" w:cs="微软雅黑"/>
                <w:sz w:val="20"/>
                <w:szCs w:val="20"/>
              </w:rPr>
            </w:pPr>
            <w:r>
              <w:rPr>
                <w:rFonts w:hint="eastAsia" w:ascii="微软雅黑" w:hAnsi="微软雅黑" w:cs="微软雅黑"/>
                <w:sz w:val="20"/>
                <w:szCs w:val="20"/>
                <w:lang w:val="en-US" w:eastAsia="zh-CN"/>
              </w:rPr>
              <w:t>MCU消费/家电/工业/车规等市场需求温和复苏</w:t>
            </w:r>
          </w:p>
          <w:p>
            <w:pPr>
              <w:pStyle w:val="25"/>
              <w:numPr>
                <w:ilvl w:val="0"/>
                <w:numId w:val="4"/>
              </w:numPr>
              <w:spacing w:line="400" w:lineRule="exact"/>
              <w:ind w:firstLine="210"/>
              <w:jc w:val="left"/>
              <w:rPr>
                <w:rFonts w:hint="eastAsia" w:ascii="微软雅黑" w:hAnsi="微软雅黑" w:eastAsia="微软雅黑" w:cs="微软雅黑"/>
                <w:sz w:val="20"/>
                <w:szCs w:val="20"/>
              </w:rPr>
            </w:pPr>
            <w:bookmarkStart w:id="36" w:name="_GoBack"/>
            <w:bookmarkEnd w:id="36"/>
            <w:r>
              <w:rPr>
                <w:rFonts w:hint="eastAsia" w:ascii="微软雅黑" w:hAnsi="微软雅黑" w:cs="微软雅黑"/>
                <w:sz w:val="20"/>
                <w:szCs w:val="20"/>
                <w:lang w:val="en-US" w:eastAsia="zh-CN"/>
              </w:rPr>
              <w:t>服务器和消费级CPU市场走势分化显著</w:t>
            </w:r>
          </w:p>
        </w:tc>
      </w:tr>
    </w:tbl>
    <w:p>
      <w:pPr>
        <w:bidi w:val="0"/>
        <w:rPr>
          <w:rFonts w:hint="eastAsia"/>
          <w:lang w:val="en-US" w:eastAsia="zh-CN"/>
        </w:rPr>
      </w:pPr>
      <w:bookmarkStart w:id="2" w:name="_Toc3481"/>
      <w:bookmarkStart w:id="3" w:name="_Toc12923"/>
    </w:p>
    <w:p>
      <w:pPr>
        <w:bidi w:val="0"/>
        <w:rPr>
          <w:rFonts w:hint="eastAsia"/>
          <w:lang w:val="en-US" w:eastAsia="zh-CN"/>
        </w:rPr>
      </w:pPr>
    </w:p>
    <w:bookmarkEnd w:id="2"/>
    <w:p>
      <w:pPr>
        <w:pStyle w:val="2"/>
        <w:keepNext/>
        <w:keepLines/>
        <w:pageBreakBefore w:val="0"/>
        <w:widowControl w:val="0"/>
        <w:numPr>
          <w:ilvl w:val="0"/>
          <w:numId w:val="0"/>
        </w:numPr>
        <w:kinsoku/>
        <w:wordWrap/>
        <w:overflowPunct/>
        <w:topLinePunct w:val="0"/>
        <w:autoSpaceDE/>
        <w:autoSpaceDN/>
        <w:bidi w:val="0"/>
        <w:adjustRightInd/>
        <w:snapToGrid/>
        <w:spacing w:before="0" w:line="240" w:lineRule="atLeast"/>
        <w:ind w:leftChars="0"/>
        <w:textAlignment w:val="auto"/>
        <w:rPr>
          <w:rFonts w:hint="eastAsia" w:ascii="微软雅黑" w:hAnsi="微软雅黑" w:eastAsia="微软雅黑" w:cs="微软雅黑"/>
          <w:b/>
          <w:bCs/>
          <w:sz w:val="24"/>
          <w:szCs w:val="32"/>
        </w:rPr>
      </w:pPr>
      <w:r>
        <w:rPr>
          <w:rFonts w:hint="eastAsia" w:ascii="微软雅黑" w:hAnsi="微软雅黑" w:cs="微软雅黑"/>
          <w:lang w:val="en-US" w:eastAsia="zh-CN"/>
        </w:rPr>
        <w:t>一、</w:t>
      </w:r>
      <w:r>
        <w:rPr>
          <w:rFonts w:hint="eastAsia" w:ascii="微软雅黑" w:hAnsi="微软雅黑" w:eastAsia="微软雅黑" w:cs="微软雅黑"/>
        </w:rPr>
        <w:t>宏观动态</w:t>
      </w:r>
      <w:bookmarkStart w:id="4" w:name="_Toc182324536"/>
    </w:p>
    <w:bookmarkEnd w:id="4"/>
    <w:p>
      <w:pPr>
        <w:pStyle w:val="3"/>
        <w:pageBreakBefore w:val="0"/>
        <w:widowControl w:val="0"/>
        <w:numPr>
          <w:ilvl w:val="0"/>
          <w:numId w:val="5"/>
        </w:numPr>
        <w:kinsoku/>
        <w:wordWrap/>
        <w:overflowPunct/>
        <w:topLinePunct w:val="0"/>
        <w:autoSpaceDE/>
        <w:autoSpaceDN/>
        <w:bidi w:val="0"/>
        <w:adjustRightInd/>
        <w:snapToGrid/>
        <w:spacing w:line="440" w:lineRule="exact"/>
        <w:ind w:leftChars="0"/>
        <w:textAlignment w:val="auto"/>
        <w:rPr>
          <w:rFonts w:hint="eastAsia" w:ascii="微软雅黑" w:hAnsi="微软雅黑" w:eastAsia="微软雅黑" w:cs="微软雅黑"/>
          <w:lang w:val="en-US" w:eastAsia="zh-CN"/>
        </w:rPr>
      </w:pPr>
      <w:bookmarkStart w:id="5" w:name="_Toc16518"/>
      <w:r>
        <w:rPr>
          <w:rFonts w:hint="eastAsia" w:ascii="微软雅黑" w:hAnsi="微软雅黑" w:eastAsia="微软雅黑" w:cs="微软雅黑"/>
          <w:lang w:val="en-US" w:eastAsia="zh-CN"/>
        </w:rPr>
        <w:t>行业政策</w:t>
      </w:r>
      <w:bookmarkEnd w:id="5"/>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left"/>
        <w:textAlignment w:val="auto"/>
        <w:rPr>
          <w:rFonts w:hint="eastAsia" w:ascii="微软雅黑" w:hAnsi="微软雅黑" w:eastAsia="微软雅黑" w:cs="微软雅黑"/>
          <w:b/>
          <w:bCs/>
          <w:sz w:val="22"/>
          <w:szCs w:val="22"/>
          <w:lang w:val="en-SG" w:eastAsia="zh-CN"/>
        </w:rPr>
      </w:pPr>
      <w:r>
        <w:rPr>
          <w:rFonts w:hint="eastAsia" w:ascii="微软雅黑" w:hAnsi="微软雅黑" w:eastAsia="微软雅黑" w:cs="微软雅黑"/>
          <w:b/>
          <w:bCs/>
          <w:sz w:val="22"/>
          <w:szCs w:val="22"/>
          <w:lang w:val="en-SG" w:eastAsia="zh-CN"/>
        </w:rPr>
        <w:t>美国：关税与出口管制同步收紧，科技与高附加值产业面临制度性风险</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lang w:val="en-SG"/>
        </w:rPr>
      </w:pPr>
      <w:r>
        <w:rPr>
          <w:rFonts w:hint="eastAsia" w:ascii="微软雅黑" w:hAnsi="微软雅黑" w:cs="微软雅黑"/>
          <w:b/>
          <w:bCs/>
          <w:lang w:val="en-US" w:eastAsia="zh-CN"/>
        </w:rPr>
        <w:t>1）</w:t>
      </w:r>
      <w:r>
        <w:rPr>
          <w:rFonts w:hint="eastAsia" w:ascii="微软雅黑" w:hAnsi="微软雅黑" w:eastAsia="微软雅黑" w:cs="微软雅黑"/>
          <w:b/>
          <w:bCs/>
          <w:lang w:val="en-SG"/>
        </w:rPr>
        <w:t>新关税措施</w:t>
      </w:r>
      <w:r>
        <w:rPr>
          <w:rFonts w:hint="eastAsia" w:ascii="微软雅黑" w:hAnsi="微软雅黑" w:eastAsia="微软雅黑" w:cs="微软雅黑"/>
          <w:lang w:val="en-SG"/>
        </w:rPr>
        <w:t>：2025年9月25日，美国总统特朗普宣布，自10月1日起，对进口的品牌／专利药品征收100%关税（对已在美国境内开工建厂的企业可豁免）；同时，对厨房橱柜与浴室柜等家居装修用品征收50%，软体家具征收30%，重型卡车征收25%。这些措施标志着关税政策与国家安全、国内制造业复兴目标更紧密地结合。</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lang w:val="en-SG"/>
        </w:rPr>
      </w:pPr>
      <w:r>
        <w:rPr>
          <w:rFonts w:hint="eastAsia" w:ascii="微软雅黑" w:hAnsi="微软雅黑" w:cs="微软雅黑"/>
          <w:b/>
          <w:bCs/>
          <w:lang w:val="en-US" w:eastAsia="zh-CN"/>
        </w:rPr>
        <w:t>2）</w:t>
      </w:r>
      <w:r>
        <w:rPr>
          <w:rFonts w:hint="eastAsia" w:ascii="微软雅黑" w:hAnsi="微软雅黑" w:eastAsia="微软雅黑" w:cs="微软雅黑"/>
          <w:b/>
          <w:bCs/>
          <w:lang w:val="en-SG"/>
        </w:rPr>
        <w:t>出口管制升级</w:t>
      </w:r>
      <w:r>
        <w:rPr>
          <w:rFonts w:hint="eastAsia" w:ascii="微软雅黑" w:hAnsi="微软雅黑" w:eastAsia="微软雅黑" w:cs="微软雅黑"/>
          <w:lang w:val="en-SG"/>
        </w:rPr>
        <w:t>：美国商务部于8月底／9月初正式撤销三星与SK海力士等公司对其在中国的部分工厂进口美国制造设备的“Validated End-User”（VEU）豁免状态，未来这些公司若要在中国扩产或技术升级，必须申请出口许可，并在120天后生效。与这些一起，TSMC南京厂区的快速通关（fast-track / VEU）出口状态亦被撤销，将于2025年底取消。</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lang w:val="en-SG"/>
        </w:rPr>
      </w:pPr>
      <w:r>
        <w:rPr>
          <w:rFonts w:hint="eastAsia" w:ascii="微软雅黑" w:hAnsi="微软雅黑" w:eastAsia="微软雅黑" w:cs="微软雅黑"/>
          <w:lang w:val="en-SG"/>
        </w:rPr>
        <w:t>这些政策表明美国政府正在从多个维度（关税+出口管控）加强对供应链、安全与产业政策的控制。对半导体及高科技产业而言，这意味着产品进口与设备采购的合规成本和审批难度将进一步上升；企业若要维持在外厂区的生产与技术升级或将面临更严格许可要求与额外延误；在高附加值或技术敏感环节，对“在地生产”或“本土化生产能力”的要求可能成为未来进场或获得市场与政策支持的重要条件。</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left"/>
        <w:textAlignment w:val="auto"/>
        <w:rPr>
          <w:rFonts w:hint="eastAsia" w:ascii="微软雅黑" w:hAnsi="微软雅黑" w:eastAsia="微软雅黑" w:cs="微软雅黑"/>
          <w:b/>
          <w:bCs/>
          <w:sz w:val="22"/>
          <w:szCs w:val="22"/>
          <w:lang w:val="en-SG" w:eastAsia="zh-CN"/>
        </w:rPr>
      </w:pPr>
      <w:r>
        <w:rPr>
          <w:rFonts w:hint="eastAsia" w:ascii="微软雅黑" w:hAnsi="微软雅黑" w:eastAsia="微软雅黑" w:cs="微软雅黑"/>
          <w:b/>
          <w:bCs/>
          <w:sz w:val="22"/>
          <w:szCs w:val="22"/>
          <w:lang w:val="en-SG" w:eastAsia="zh-CN"/>
        </w:rPr>
        <w:t>美国：美国政府注资英特尔 89 亿美元，取得约 9.9% 被动股份推进国内半导体领导地位</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lang w:val="en-SG"/>
        </w:rPr>
      </w:pPr>
      <w:r>
        <w:rPr>
          <w:rFonts w:hint="eastAsia" w:ascii="微软雅黑" w:hAnsi="微软雅黑" w:eastAsia="微软雅黑" w:cs="微软雅黑"/>
          <w:lang w:val="en-SG"/>
        </w:rPr>
        <w:t>2025 年 8 月 22 日，美国政府与英特尔达成协议，以 89 亿美元 购买英特尔普通股，持股比例为 9.9%，每股价格为 20.47 美元，其中约 57 亿美元来自《CHIPS &amp; Science Act》未支付的补助款项，约 32 亿美元来源于“Secure Enclave”国家安全项目资金。政府声明该持股为被动性质，不拥有董事会席位或治理权利。此举意在加强美国在高端半导体逻辑处理器及制造业的全球竞争力，并确保关键供应链的自给率。对于行业的意义在于，公共资本正在从补贴与税收优惠模式扩展至股权参与模式，这将影响资本配置、产业风险评估以及厂商是否优先考虑在美建厂或合资的成本与收益比较。长期来看，该政策将使市场预期美国政府在半导体企业中的角色更加积极，企业需把政府股权政策纳入战略规划中，尤其是在融资、产能扩展与技术合作方面。</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left"/>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日本：大手内存项目获巨额补贴，锁定高阶内存与先进封装能力</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日本经济产业省（METI）在 9 月对外确认，将向 Micron 在广岛建设的下一代 DRAM / HBM 产线提供高达约 5360 亿日元（约 36 亿美元）补贴，以支持工厂建设、先进制程（目标 1-gamma）及先进封装与研发设施，目标 2027 年量产。该补贴是日本在全球补贴竞赛中的实质动作，旨在重建日本在高阶内存和封装环节的制造能力。对产业的直接效应包括：短期内拉动设备、材料与封装招标；中长期改变区域内内存产能分布并可能对韩台产能与价格形成溢出影响。建议设备/材料供应商积极对接日本招标与地方政府配套，芯片厂商评估在地化供应链与合作伙伴以共享政策红利。</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left"/>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韩国：出口结构中半导体成为拉动项，政府拟推支援政策应对外部关税压力</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2025 年 9 月，韩国官方发布贸易数据显示：8 月半导体出口同比上涨约 27.1%，出口总额达约 151 亿美元，带动当月整体出口同比增长约 1.3%，这是连续第三个月实现正增长。尽管对美出口受美国关税政策影响整体下降约 12%，半导体等被豁免关税的产品出口仍保持稳定增长。面对这些外部压力，韩国贸易部/工业能源部表态将在 9 月 出台多项支持政策，包括加大对中小出口企业的补助、帮助出口市场多元化、提升产品竞争力与成本结构效率，以缓解关税与贸易摩擦造成的出口环境冲击。</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left"/>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中国：监管趋严、采购合规与国产替代并行</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9月中国监管层对外购高端AI算力产品的合规和“信息安全”风险管控保持高压态势。相关监管机构（含网信办/行业监管单位）在8–9月期间对若干互联网与算力服务企业就采购英伟达等外国高性能AI芯片进行了约谈，强调评估信息安全与国产替代方案的必要性，并鼓励通过政策与资金支持加速本土AI芯片及加速器的产业化与商用化。这既是产业安全考量，也是推动国产替代与上游供应链本地化的政策信号：短期内会抑制部分国外高端GPU在中国企业的大规模采购，长期则利好国产AI芯片与本土IP生态的加速发展。</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eastAsia" w:ascii="微软雅黑" w:hAnsi="微软雅黑" w:eastAsia="微软雅黑" w:cs="微软雅黑"/>
          <w:lang w:val="en-US" w:eastAsia="zh-CN"/>
        </w:rPr>
      </w:pPr>
    </w:p>
    <w:p>
      <w:pPr>
        <w:pStyle w:val="3"/>
        <w:keepNext/>
        <w:keepLines/>
        <w:pageBreakBefore w:val="0"/>
        <w:widowControl w:val="0"/>
        <w:numPr>
          <w:ilvl w:val="0"/>
          <w:numId w:val="0"/>
        </w:numPr>
        <w:kinsoku/>
        <w:wordWrap/>
        <w:overflowPunct/>
        <w:topLinePunct w:val="0"/>
        <w:autoSpaceDE/>
        <w:autoSpaceDN/>
        <w:bidi w:val="0"/>
        <w:adjustRightInd/>
        <w:snapToGrid/>
        <w:spacing w:before="0" w:line="440" w:lineRule="exact"/>
        <w:ind w:leftChars="0"/>
        <w:textAlignment w:val="auto"/>
        <w:rPr>
          <w:rFonts w:hint="eastAsia" w:ascii="微软雅黑" w:hAnsi="微软雅黑" w:eastAsia="微软雅黑" w:cs="微软雅黑"/>
        </w:rPr>
      </w:pPr>
      <w:bookmarkStart w:id="6" w:name="_Toc30899"/>
      <w:r>
        <w:rPr>
          <w:rFonts w:hint="eastAsia" w:ascii="微软雅黑" w:hAnsi="微软雅黑" w:eastAsia="微软雅黑" w:cs="微软雅黑"/>
          <w:b/>
          <w:bCs/>
          <w:sz w:val="24"/>
          <w:szCs w:val="32"/>
        </w:rPr>
        <w:t>（二）</w:t>
      </w:r>
      <w:r>
        <w:rPr>
          <w:rFonts w:hint="eastAsia" w:ascii="微软雅黑" w:hAnsi="微软雅黑" w:eastAsia="微软雅黑" w:cs="微软雅黑"/>
          <w:lang w:val="en-US" w:eastAsia="zh-CN"/>
        </w:rPr>
        <w:t>经济指数</w:t>
      </w:r>
      <w:bookmarkEnd w:id="6"/>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left"/>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8月全球制造业PMI回升至50.9，区域复苏分化影响半导体需求</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eastAsia="微软雅黑" w:cs="微软雅黑"/>
        </w:rPr>
      </w:pPr>
      <w:r>
        <w:rPr>
          <w:rFonts w:hint="eastAsia" w:ascii="微软雅黑" w:hAnsi="微软雅黑" w:eastAsia="微软雅黑" w:cs="微软雅黑"/>
        </w:rPr>
        <w:t>2025年8月，全球制造业采购经理人指数（PMI）上升至50.9%，较7月的49.7%有所改善，标志着全球制造业活动略有复苏，为14个月来的最高水平。 然而，区域间的表现差异显著，反映出全球经济复苏的不均衡性。</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eastAsia="微软雅黑" w:cs="微软雅黑"/>
        </w:rPr>
      </w:pPr>
      <w:r>
        <w:rPr>
          <w:rFonts w:hint="eastAsia" w:ascii="微软雅黑" w:hAnsi="微软雅黑" w:eastAsia="微软雅黑" w:cs="微软雅黑"/>
        </w:rPr>
        <w:t xml:space="preserve">中国8月制造业PMI为49.4%，较7月的49.3%略有上升，显示出制造业活动持续收缩，但收缩幅度有所减缓。日本8月制造业PMI为49.7%，较7月的48.9%有所回升，表明制造业活动略有改善，但仍处于收缩区间。韩国8月制造业PMI为48.3%，较7月的48.0%略有上升，持续收缩，外需疲弱拖累表现。印度8月制造业PMI为59.3%，较7月的59.1%略有上升，显示出制造业活动持续强劲扩张，需求旺盛。美国8月制造业PMI为48.7%，较7月的48.0%有所回升，显示出制造业活动有所改善，生产和新订单增长。欧元区8月制造业PMI为50.7%，较7月的49.8%有所回升，显示出制造业活动轻度扩张，但商业信心仍然疲弱。 </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eastAsia="微软雅黑" w:cs="微软雅黑"/>
          <w:b/>
          <w:color w:val="732F89"/>
          <w:spacing w:val="-2"/>
          <w:sz w:val="22"/>
        </w:rPr>
      </w:pPr>
      <w:r>
        <w:rPr>
          <w:rFonts w:hint="eastAsia" w:ascii="微软雅黑" w:hAnsi="微软雅黑" w:eastAsia="微软雅黑" w:cs="微软雅黑"/>
        </w:rPr>
        <w:t>总体而言，全球制造业复苏呈现区域性分化：新兴市场印度表现强劲，制造业扩张明显；欧美市场有所改善，制造业活动有所回升；而亚洲主要经济体如中国、日本和韩国则面临挑战，制造业活动持续收缩。 这种区域性差异反映出全球经济复苏的不均衡性，企业应关注各国经济政策和国际贸易环境的变化，灵活调整战略以应对不同市场的挑战。</w:t>
      </w:r>
    </w:p>
    <w:p>
      <w:pPr>
        <w:spacing w:before="0"/>
        <w:ind w:left="575" w:right="0" w:firstLine="0"/>
        <w:jc w:val="left"/>
        <w:rPr>
          <w:rFonts w:hint="eastAsia" w:ascii="微软雅黑" w:hAnsi="微软雅黑" w:eastAsia="微软雅黑" w:cs="微软雅黑"/>
          <w:b/>
          <w:color w:val="732F89"/>
          <w:sz w:val="22"/>
        </w:rPr>
      </w:pPr>
      <w:r>
        <w:rPr>
          <w:rFonts w:hint="eastAsia" w:ascii="微软雅黑" w:hAnsi="微软雅黑" w:eastAsia="微软雅黑" w:cs="微软雅黑"/>
          <w:b/>
          <w:color w:val="732F89"/>
          <w:spacing w:val="-2"/>
          <w:sz w:val="22"/>
        </w:rPr>
        <w:t>全球各地区制造业</w:t>
      </w:r>
      <w:r>
        <w:rPr>
          <w:rFonts w:hint="eastAsia" w:ascii="微软雅黑" w:hAnsi="微软雅黑" w:eastAsia="微软雅黑" w:cs="微软雅黑"/>
          <w:b/>
          <w:color w:val="732F89"/>
          <w:sz w:val="22"/>
        </w:rPr>
        <w:t>PMI</w:t>
      </w:r>
    </w:p>
    <w:tbl>
      <w:tblPr>
        <w:tblStyle w:val="18"/>
        <w:tblW w:w="927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7"/>
        <w:gridCol w:w="1140"/>
        <w:gridCol w:w="1140"/>
        <w:gridCol w:w="1140"/>
        <w:gridCol w:w="1140"/>
        <w:gridCol w:w="1140"/>
        <w:gridCol w:w="1140"/>
        <w:gridCol w:w="1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时间</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全球</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中国</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日本</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韩国</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印度</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美国</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欧元区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2023-11</w:t>
            </w:r>
          </w:p>
        </w:tc>
        <w:tc>
          <w:tcPr>
            <w:tcW w:w="0" w:type="auto"/>
            <w:tcBorders>
              <w:top w:val="single" w:color="000000" w:sz="4" w:space="0"/>
              <w:left w:val="single" w:color="000000" w:sz="4" w:space="0"/>
              <w:bottom w:val="single" w:color="000000" w:sz="4" w:space="0"/>
              <w:right w:val="single" w:color="000000" w:sz="4" w:space="0"/>
            </w:tcBorders>
            <w:shd w:val="clear" w:color="auto" w:fill="FFEB84"/>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49.30 </w:t>
            </w:r>
          </w:p>
        </w:tc>
        <w:tc>
          <w:tcPr>
            <w:tcW w:w="0" w:type="auto"/>
            <w:tcBorders>
              <w:top w:val="single" w:color="000000" w:sz="4" w:space="0"/>
              <w:left w:val="single" w:color="000000" w:sz="4" w:space="0"/>
              <w:bottom w:val="single" w:color="000000" w:sz="4" w:space="0"/>
              <w:right w:val="single" w:color="000000" w:sz="4" w:space="0"/>
            </w:tcBorders>
            <w:shd w:val="clear" w:color="auto" w:fill="FFE984"/>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49.40 </w:t>
            </w:r>
          </w:p>
        </w:tc>
        <w:tc>
          <w:tcPr>
            <w:tcW w:w="0" w:type="auto"/>
            <w:tcBorders>
              <w:top w:val="single" w:color="000000" w:sz="4" w:space="0"/>
              <w:left w:val="single" w:color="000000" w:sz="4" w:space="0"/>
              <w:bottom w:val="single" w:color="000000" w:sz="4" w:space="0"/>
              <w:right w:val="single" w:color="000000" w:sz="4" w:space="0"/>
            </w:tcBorders>
            <w:shd w:val="clear" w:color="auto" w:fill="E1E282"/>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48.30 </w:t>
            </w:r>
          </w:p>
        </w:tc>
        <w:tc>
          <w:tcPr>
            <w:tcW w:w="0" w:type="auto"/>
            <w:tcBorders>
              <w:top w:val="single" w:color="000000" w:sz="4" w:space="0"/>
              <w:left w:val="single" w:color="000000" w:sz="4" w:space="0"/>
              <w:bottom w:val="single" w:color="000000" w:sz="4" w:space="0"/>
              <w:right w:val="single" w:color="000000" w:sz="4" w:space="0"/>
            </w:tcBorders>
            <w:shd w:val="clear" w:color="auto" w:fill="FFDF82"/>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50.00 </w:t>
            </w:r>
          </w:p>
        </w:tc>
        <w:tc>
          <w:tcPr>
            <w:tcW w:w="0" w:type="auto"/>
            <w:tcBorders>
              <w:top w:val="single" w:color="000000" w:sz="4" w:space="0"/>
              <w:left w:val="single" w:color="000000" w:sz="4" w:space="0"/>
              <w:bottom w:val="single" w:color="000000" w:sz="4" w:space="0"/>
              <w:right w:val="single" w:color="000000" w:sz="4" w:space="0"/>
            </w:tcBorders>
            <w:shd w:val="clear" w:color="auto" w:fill="F9796E"/>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56.00 </w:t>
            </w:r>
          </w:p>
        </w:tc>
        <w:tc>
          <w:tcPr>
            <w:tcW w:w="0" w:type="auto"/>
            <w:tcBorders>
              <w:top w:val="single" w:color="000000" w:sz="4" w:space="0"/>
              <w:left w:val="single" w:color="000000" w:sz="4" w:space="0"/>
              <w:bottom w:val="single" w:color="000000" w:sz="4" w:space="0"/>
              <w:right w:val="single" w:color="000000" w:sz="4" w:space="0"/>
            </w:tcBorders>
            <w:shd w:val="clear" w:color="auto" w:fill="B0D47F"/>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46.70 </w:t>
            </w:r>
          </w:p>
        </w:tc>
        <w:tc>
          <w:tcPr>
            <w:tcW w:w="0" w:type="auto"/>
            <w:tcBorders>
              <w:top w:val="single" w:color="000000" w:sz="4" w:space="0"/>
              <w:left w:val="single" w:color="000000" w:sz="4" w:space="0"/>
              <w:bottom w:val="single" w:color="000000" w:sz="4" w:space="0"/>
              <w:right w:val="single" w:color="000000" w:sz="4" w:space="0"/>
            </w:tcBorders>
            <w:shd w:val="clear" w:color="auto" w:fill="63BE7B"/>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44.20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2023-12</w:t>
            </w:r>
          </w:p>
        </w:tc>
        <w:tc>
          <w:tcPr>
            <w:tcW w:w="0" w:type="auto"/>
            <w:tcBorders>
              <w:top w:val="single" w:color="000000" w:sz="4" w:space="0"/>
              <w:left w:val="single" w:color="000000" w:sz="4" w:space="0"/>
              <w:bottom w:val="single" w:color="000000" w:sz="4" w:space="0"/>
              <w:right w:val="single" w:color="000000" w:sz="4" w:space="0"/>
            </w:tcBorders>
            <w:shd w:val="clear" w:color="auto" w:fill="F7E883"/>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49.00 </w:t>
            </w:r>
          </w:p>
        </w:tc>
        <w:tc>
          <w:tcPr>
            <w:tcW w:w="0" w:type="auto"/>
            <w:tcBorders>
              <w:top w:val="single" w:color="000000" w:sz="4" w:space="0"/>
              <w:left w:val="single" w:color="000000" w:sz="4" w:space="0"/>
              <w:bottom w:val="single" w:color="000000" w:sz="4" w:space="0"/>
              <w:right w:val="single" w:color="000000" w:sz="4" w:space="0"/>
            </w:tcBorders>
            <w:shd w:val="clear" w:color="auto" w:fill="F7E883"/>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49.00 </w:t>
            </w:r>
          </w:p>
        </w:tc>
        <w:tc>
          <w:tcPr>
            <w:tcW w:w="0" w:type="auto"/>
            <w:tcBorders>
              <w:top w:val="single" w:color="000000" w:sz="4" w:space="0"/>
              <w:left w:val="single" w:color="000000" w:sz="4" w:space="0"/>
              <w:bottom w:val="single" w:color="000000" w:sz="4" w:space="0"/>
              <w:right w:val="single" w:color="000000" w:sz="4" w:space="0"/>
            </w:tcBorders>
            <w:shd w:val="clear" w:color="auto" w:fill="D5DE81"/>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47.90 </w:t>
            </w:r>
          </w:p>
        </w:tc>
        <w:tc>
          <w:tcPr>
            <w:tcW w:w="0" w:type="auto"/>
            <w:tcBorders>
              <w:top w:val="single" w:color="000000" w:sz="4" w:space="0"/>
              <w:left w:val="single" w:color="000000" w:sz="4" w:space="0"/>
              <w:bottom w:val="single" w:color="000000" w:sz="4" w:space="0"/>
              <w:right w:val="single" w:color="000000" w:sz="4" w:space="0"/>
            </w:tcBorders>
            <w:shd w:val="clear" w:color="auto" w:fill="FFE082"/>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49.90 </w:t>
            </w:r>
          </w:p>
        </w:tc>
        <w:tc>
          <w:tcPr>
            <w:tcW w:w="0" w:type="auto"/>
            <w:tcBorders>
              <w:top w:val="single" w:color="000000" w:sz="4" w:space="0"/>
              <w:left w:val="single" w:color="000000" w:sz="4" w:space="0"/>
              <w:bottom w:val="single" w:color="000000" w:sz="4" w:space="0"/>
              <w:right w:val="single" w:color="000000" w:sz="4" w:space="0"/>
            </w:tcBorders>
            <w:shd w:val="clear" w:color="auto" w:fill="FA8B72"/>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54.90 </w:t>
            </w:r>
          </w:p>
        </w:tc>
        <w:tc>
          <w:tcPr>
            <w:tcW w:w="0" w:type="auto"/>
            <w:tcBorders>
              <w:top w:val="single" w:color="000000" w:sz="4" w:space="0"/>
              <w:left w:val="single" w:color="000000" w:sz="4" w:space="0"/>
              <w:bottom w:val="single" w:color="000000" w:sz="4" w:space="0"/>
              <w:right w:val="single" w:color="000000" w:sz="4" w:space="0"/>
            </w:tcBorders>
            <w:shd w:val="clear" w:color="auto" w:fill="C5DA80"/>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47.40 </w:t>
            </w:r>
          </w:p>
        </w:tc>
        <w:tc>
          <w:tcPr>
            <w:tcW w:w="0" w:type="auto"/>
            <w:tcBorders>
              <w:top w:val="single" w:color="000000" w:sz="4" w:space="0"/>
              <w:left w:val="single" w:color="000000" w:sz="4" w:space="0"/>
              <w:bottom w:val="single" w:color="000000" w:sz="4" w:space="0"/>
              <w:right w:val="single" w:color="000000" w:sz="4" w:space="0"/>
            </w:tcBorders>
            <w:shd w:val="clear" w:color="auto" w:fill="69BF7B"/>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44.40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2024-01</w:t>
            </w:r>
          </w:p>
        </w:tc>
        <w:tc>
          <w:tcPr>
            <w:tcW w:w="0" w:type="auto"/>
            <w:tcBorders>
              <w:top w:val="single" w:color="000000" w:sz="4" w:space="0"/>
              <w:left w:val="single" w:color="000000" w:sz="4" w:space="0"/>
              <w:bottom w:val="single" w:color="000000" w:sz="4" w:space="0"/>
              <w:right w:val="single" w:color="000000" w:sz="4" w:space="0"/>
            </w:tcBorders>
            <w:shd w:val="clear" w:color="auto" w:fill="FFDF82"/>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50.00 </w:t>
            </w:r>
          </w:p>
        </w:tc>
        <w:tc>
          <w:tcPr>
            <w:tcW w:w="0" w:type="auto"/>
            <w:tcBorders>
              <w:top w:val="single" w:color="000000" w:sz="4" w:space="0"/>
              <w:left w:val="single" w:color="000000" w:sz="4" w:space="0"/>
              <w:bottom w:val="single" w:color="000000" w:sz="4" w:space="0"/>
              <w:right w:val="single" w:color="000000" w:sz="4" w:space="0"/>
            </w:tcBorders>
            <w:shd w:val="clear" w:color="auto" w:fill="FDEA83"/>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49.20 </w:t>
            </w:r>
          </w:p>
        </w:tc>
        <w:tc>
          <w:tcPr>
            <w:tcW w:w="0" w:type="auto"/>
            <w:tcBorders>
              <w:top w:val="single" w:color="000000" w:sz="4" w:space="0"/>
              <w:left w:val="single" w:color="000000" w:sz="4" w:space="0"/>
              <w:bottom w:val="single" w:color="000000" w:sz="4" w:space="0"/>
              <w:right w:val="single" w:color="000000" w:sz="4" w:space="0"/>
            </w:tcBorders>
            <w:shd w:val="clear" w:color="auto" w:fill="D8DF81"/>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48.00 </w:t>
            </w:r>
          </w:p>
        </w:tc>
        <w:tc>
          <w:tcPr>
            <w:tcW w:w="0" w:type="auto"/>
            <w:tcBorders>
              <w:top w:val="single" w:color="000000" w:sz="4" w:space="0"/>
              <w:left w:val="single" w:color="000000" w:sz="4" w:space="0"/>
              <w:bottom w:val="single" w:color="000000" w:sz="4" w:space="0"/>
              <w:right w:val="single" w:color="000000" w:sz="4" w:space="0"/>
            </w:tcBorders>
            <w:shd w:val="clear" w:color="auto" w:fill="FECA7E"/>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51.20 </w:t>
            </w:r>
          </w:p>
        </w:tc>
        <w:tc>
          <w:tcPr>
            <w:tcW w:w="0" w:type="auto"/>
            <w:tcBorders>
              <w:top w:val="single" w:color="000000" w:sz="4" w:space="0"/>
              <w:left w:val="single" w:color="000000" w:sz="4" w:space="0"/>
              <w:bottom w:val="single" w:color="000000" w:sz="4" w:space="0"/>
              <w:right w:val="single" w:color="000000" w:sz="4" w:space="0"/>
            </w:tcBorders>
            <w:shd w:val="clear" w:color="auto" w:fill="F9706D"/>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56.50 </w:t>
            </w:r>
          </w:p>
        </w:tc>
        <w:tc>
          <w:tcPr>
            <w:tcW w:w="0" w:type="auto"/>
            <w:tcBorders>
              <w:top w:val="single" w:color="000000" w:sz="4" w:space="0"/>
              <w:left w:val="single" w:color="000000" w:sz="4" w:space="0"/>
              <w:bottom w:val="single" w:color="000000" w:sz="4" w:space="0"/>
              <w:right w:val="single" w:color="000000" w:sz="4" w:space="0"/>
            </w:tcBorders>
            <w:shd w:val="clear" w:color="auto" w:fill="FAE983"/>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49.10 </w:t>
            </w:r>
          </w:p>
        </w:tc>
        <w:tc>
          <w:tcPr>
            <w:tcW w:w="0" w:type="auto"/>
            <w:tcBorders>
              <w:top w:val="single" w:color="000000" w:sz="4" w:space="0"/>
              <w:left w:val="single" w:color="000000" w:sz="4" w:space="0"/>
              <w:bottom w:val="single" w:color="000000" w:sz="4" w:space="0"/>
              <w:right w:val="single" w:color="000000" w:sz="4" w:space="0"/>
            </w:tcBorders>
            <w:shd w:val="clear" w:color="auto" w:fill="ADD37F"/>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46.60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2024-02</w:t>
            </w:r>
          </w:p>
        </w:tc>
        <w:tc>
          <w:tcPr>
            <w:tcW w:w="0" w:type="auto"/>
            <w:tcBorders>
              <w:top w:val="single" w:color="000000" w:sz="4" w:space="0"/>
              <w:left w:val="single" w:color="000000" w:sz="4" w:space="0"/>
              <w:bottom w:val="single" w:color="000000" w:sz="4" w:space="0"/>
              <w:right w:val="single" w:color="000000" w:sz="4" w:space="0"/>
            </w:tcBorders>
            <w:shd w:val="clear" w:color="auto" w:fill="FFDA81"/>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50.30 </w:t>
            </w:r>
          </w:p>
        </w:tc>
        <w:tc>
          <w:tcPr>
            <w:tcW w:w="0" w:type="auto"/>
            <w:tcBorders>
              <w:top w:val="single" w:color="000000" w:sz="4" w:space="0"/>
              <w:left w:val="single" w:color="000000" w:sz="4" w:space="0"/>
              <w:bottom w:val="single" w:color="000000" w:sz="4" w:space="0"/>
              <w:right w:val="single" w:color="000000" w:sz="4" w:space="0"/>
            </w:tcBorders>
            <w:shd w:val="clear" w:color="auto" w:fill="FAE983"/>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49.10 </w:t>
            </w:r>
          </w:p>
        </w:tc>
        <w:tc>
          <w:tcPr>
            <w:tcW w:w="0" w:type="auto"/>
            <w:tcBorders>
              <w:top w:val="single" w:color="000000" w:sz="4" w:space="0"/>
              <w:left w:val="single" w:color="000000" w:sz="4" w:space="0"/>
              <w:bottom w:val="single" w:color="000000" w:sz="4" w:space="0"/>
              <w:right w:val="single" w:color="000000" w:sz="4" w:space="0"/>
            </w:tcBorders>
            <w:shd w:val="clear" w:color="auto" w:fill="BFD880"/>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47.20 </w:t>
            </w:r>
          </w:p>
        </w:tc>
        <w:tc>
          <w:tcPr>
            <w:tcW w:w="0" w:type="auto"/>
            <w:tcBorders>
              <w:top w:val="single" w:color="000000" w:sz="4" w:space="0"/>
              <w:left w:val="single" w:color="000000" w:sz="4" w:space="0"/>
              <w:bottom w:val="single" w:color="000000" w:sz="4" w:space="0"/>
              <w:right w:val="single" w:color="000000" w:sz="4" w:space="0"/>
            </w:tcBorders>
            <w:shd w:val="clear" w:color="auto" w:fill="FED380"/>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50.70 </w:t>
            </w:r>
          </w:p>
        </w:tc>
        <w:tc>
          <w:tcPr>
            <w:tcW w:w="0" w:type="auto"/>
            <w:tcBorders>
              <w:top w:val="single" w:color="000000" w:sz="4" w:space="0"/>
              <w:left w:val="single" w:color="000000" w:sz="4" w:space="0"/>
              <w:bottom w:val="single" w:color="000000" w:sz="4" w:space="0"/>
              <w:right w:val="single" w:color="000000" w:sz="4" w:space="0"/>
            </w:tcBorders>
            <w:shd w:val="clear" w:color="auto" w:fill="F8696B"/>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56.90 </w:t>
            </w:r>
          </w:p>
        </w:tc>
        <w:tc>
          <w:tcPr>
            <w:tcW w:w="0" w:type="auto"/>
            <w:tcBorders>
              <w:top w:val="single" w:color="000000" w:sz="4" w:space="0"/>
              <w:left w:val="single" w:color="000000" w:sz="4" w:space="0"/>
              <w:bottom w:val="single" w:color="000000" w:sz="4" w:space="0"/>
              <w:right w:val="single" w:color="000000" w:sz="4" w:space="0"/>
            </w:tcBorders>
            <w:shd w:val="clear" w:color="auto" w:fill="D2DE81"/>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47.80 </w:t>
            </w:r>
          </w:p>
        </w:tc>
        <w:tc>
          <w:tcPr>
            <w:tcW w:w="0" w:type="auto"/>
            <w:tcBorders>
              <w:top w:val="single" w:color="000000" w:sz="4" w:space="0"/>
              <w:left w:val="single" w:color="000000" w:sz="4" w:space="0"/>
              <w:bottom w:val="single" w:color="000000" w:sz="4" w:space="0"/>
              <w:right w:val="single" w:color="000000" w:sz="4" w:space="0"/>
            </w:tcBorders>
            <w:shd w:val="clear" w:color="auto" w:fill="AAD27F"/>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46.50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2024-03</w:t>
            </w:r>
          </w:p>
        </w:tc>
        <w:tc>
          <w:tcPr>
            <w:tcW w:w="1140" w:type="dxa"/>
            <w:tcBorders>
              <w:top w:val="single" w:color="000000" w:sz="4" w:space="0"/>
              <w:left w:val="single" w:color="000000" w:sz="4" w:space="0"/>
              <w:bottom w:val="single" w:color="000000" w:sz="4" w:space="0"/>
              <w:right w:val="single" w:color="000000" w:sz="4" w:space="0"/>
            </w:tcBorders>
            <w:shd w:val="clear" w:color="auto" w:fill="FFE4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50.60 </w:t>
            </w:r>
          </w:p>
        </w:tc>
        <w:tc>
          <w:tcPr>
            <w:tcW w:w="0" w:type="auto"/>
            <w:tcBorders>
              <w:top w:val="single" w:color="000000" w:sz="4" w:space="0"/>
              <w:left w:val="single" w:color="000000" w:sz="4" w:space="0"/>
              <w:bottom w:val="single" w:color="000000" w:sz="4" w:space="0"/>
              <w:right w:val="single" w:color="000000" w:sz="4" w:space="0"/>
            </w:tcBorders>
            <w:shd w:val="clear" w:color="auto" w:fill="FFE183"/>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50.80 </w:t>
            </w:r>
          </w:p>
        </w:tc>
        <w:tc>
          <w:tcPr>
            <w:tcW w:w="0" w:type="auto"/>
            <w:tcBorders>
              <w:top w:val="single" w:color="000000" w:sz="4" w:space="0"/>
              <w:left w:val="single" w:color="000000" w:sz="4" w:space="0"/>
              <w:bottom w:val="single" w:color="000000" w:sz="4" w:space="0"/>
              <w:right w:val="single" w:color="000000" w:sz="4" w:space="0"/>
            </w:tcBorders>
            <w:shd w:val="clear" w:color="auto" w:fill="B4D57F"/>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48.20 </w:t>
            </w:r>
          </w:p>
        </w:tc>
        <w:tc>
          <w:tcPr>
            <w:tcW w:w="0" w:type="auto"/>
            <w:tcBorders>
              <w:top w:val="single" w:color="000000" w:sz="4" w:space="0"/>
              <w:left w:val="single" w:color="000000" w:sz="4" w:space="0"/>
              <w:bottom w:val="single" w:color="000000" w:sz="4" w:space="0"/>
              <w:right w:val="single" w:color="000000" w:sz="4" w:space="0"/>
            </w:tcBorders>
            <w:shd w:val="clear" w:color="auto" w:fill="F3E783"/>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49.80 </w:t>
            </w:r>
          </w:p>
        </w:tc>
        <w:tc>
          <w:tcPr>
            <w:tcW w:w="0" w:type="auto"/>
            <w:tcBorders>
              <w:top w:val="single" w:color="000000" w:sz="4" w:space="0"/>
              <w:left w:val="single" w:color="000000" w:sz="4" w:space="0"/>
              <w:bottom w:val="single" w:color="000000" w:sz="4" w:space="0"/>
              <w:right w:val="single" w:color="000000" w:sz="4" w:space="0"/>
            </w:tcBorders>
            <w:shd w:val="clear" w:color="auto" w:fill="F8696B"/>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59.10 </w:t>
            </w:r>
          </w:p>
        </w:tc>
        <w:tc>
          <w:tcPr>
            <w:tcW w:w="0" w:type="auto"/>
            <w:tcBorders>
              <w:top w:val="single" w:color="000000" w:sz="4" w:space="0"/>
              <w:left w:val="single" w:color="000000" w:sz="4" w:space="0"/>
              <w:bottom w:val="single" w:color="000000" w:sz="4" w:space="0"/>
              <w:right w:val="single" w:color="000000" w:sz="4" w:space="0"/>
            </w:tcBorders>
            <w:shd w:val="clear" w:color="auto" w:fill="FFE984"/>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50.30 </w:t>
            </w:r>
          </w:p>
        </w:tc>
        <w:tc>
          <w:tcPr>
            <w:tcW w:w="0" w:type="auto"/>
            <w:tcBorders>
              <w:top w:val="single" w:color="000000" w:sz="4" w:space="0"/>
              <w:left w:val="single" w:color="000000" w:sz="4" w:space="0"/>
              <w:bottom w:val="single" w:color="000000" w:sz="4" w:space="0"/>
              <w:right w:val="single" w:color="000000" w:sz="4" w:space="0"/>
            </w:tcBorders>
            <w:shd w:val="clear" w:color="auto" w:fill="63BE7B"/>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46.10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2024-04</w:t>
            </w:r>
          </w:p>
        </w:tc>
        <w:tc>
          <w:tcPr>
            <w:tcW w:w="1140" w:type="dxa"/>
            <w:tcBorders>
              <w:top w:val="single" w:color="000000" w:sz="4" w:space="0"/>
              <w:left w:val="single" w:color="000000" w:sz="4" w:space="0"/>
              <w:bottom w:val="single" w:color="000000" w:sz="4" w:space="0"/>
              <w:right w:val="single" w:color="000000" w:sz="4" w:space="0"/>
            </w:tcBorders>
            <w:shd w:val="clear" w:color="auto" w:fill="FFEB84"/>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50.30 </w:t>
            </w:r>
          </w:p>
        </w:tc>
        <w:tc>
          <w:tcPr>
            <w:tcW w:w="1140" w:type="dxa"/>
            <w:tcBorders>
              <w:top w:val="single" w:color="000000" w:sz="4" w:space="0"/>
              <w:left w:val="single" w:color="000000" w:sz="4" w:space="0"/>
              <w:bottom w:val="single" w:color="000000" w:sz="4" w:space="0"/>
              <w:right w:val="single" w:color="000000" w:sz="4" w:space="0"/>
            </w:tcBorders>
            <w:shd w:val="clear" w:color="auto" w:fill="FFEA84"/>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50.40 </w:t>
            </w:r>
          </w:p>
        </w:tc>
        <w:tc>
          <w:tcPr>
            <w:tcW w:w="1140" w:type="dxa"/>
            <w:tcBorders>
              <w:top w:val="single" w:color="000000" w:sz="4" w:space="0"/>
              <w:left w:val="single" w:color="000000" w:sz="4" w:space="0"/>
              <w:bottom w:val="single" w:color="000000" w:sz="4" w:space="0"/>
              <w:right w:val="single" w:color="000000" w:sz="4" w:space="0"/>
            </w:tcBorders>
            <w:shd w:val="clear" w:color="auto" w:fill="E7E4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49.60 </w:t>
            </w:r>
          </w:p>
        </w:tc>
        <w:tc>
          <w:tcPr>
            <w:tcW w:w="1140" w:type="dxa"/>
            <w:tcBorders>
              <w:top w:val="single" w:color="000000" w:sz="4" w:space="0"/>
              <w:left w:val="single" w:color="000000" w:sz="4" w:space="0"/>
              <w:bottom w:val="single" w:color="000000" w:sz="4" w:space="0"/>
              <w:right w:val="single" w:color="000000" w:sz="4" w:space="0"/>
            </w:tcBorders>
            <w:shd w:val="clear" w:color="auto" w:fill="E0E2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49.40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58.80 </w:t>
            </w:r>
          </w:p>
        </w:tc>
        <w:tc>
          <w:tcPr>
            <w:tcW w:w="1140" w:type="dxa"/>
            <w:tcBorders>
              <w:top w:val="single" w:color="000000" w:sz="4" w:space="0"/>
              <w:left w:val="single" w:color="000000" w:sz="4" w:space="0"/>
              <w:bottom w:val="single" w:color="000000" w:sz="4" w:space="0"/>
              <w:right w:val="single" w:color="000000" w:sz="4" w:space="0"/>
            </w:tcBorders>
            <w:shd w:val="clear" w:color="auto" w:fill="D9E08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49.20 </w:t>
            </w:r>
          </w:p>
        </w:tc>
        <w:tc>
          <w:tcPr>
            <w:tcW w:w="1140" w:type="dxa"/>
            <w:tcBorders>
              <w:top w:val="single" w:color="000000" w:sz="4" w:space="0"/>
              <w:left w:val="single" w:color="000000" w:sz="4" w:space="0"/>
              <w:bottom w:val="single" w:color="000000" w:sz="4" w:space="0"/>
              <w:right w:val="single" w:color="000000" w:sz="4" w:space="0"/>
            </w:tcBorders>
            <w:shd w:val="clear" w:color="auto" w:fill="63BE7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45.70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2024-05</w:t>
            </w:r>
          </w:p>
        </w:tc>
        <w:tc>
          <w:tcPr>
            <w:tcW w:w="1140" w:type="dxa"/>
            <w:tcBorders>
              <w:top w:val="single" w:color="000000" w:sz="4" w:space="0"/>
              <w:left w:val="single" w:color="000000" w:sz="4" w:space="0"/>
              <w:bottom w:val="single" w:color="000000" w:sz="4" w:space="0"/>
              <w:right w:val="single" w:color="000000" w:sz="4" w:space="0"/>
            </w:tcBorders>
            <w:shd w:val="clear" w:color="auto" w:fill="FFE2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50.90 </w:t>
            </w:r>
          </w:p>
        </w:tc>
        <w:tc>
          <w:tcPr>
            <w:tcW w:w="1140" w:type="dxa"/>
            <w:tcBorders>
              <w:top w:val="single" w:color="000000" w:sz="4" w:space="0"/>
              <w:left w:val="single" w:color="000000" w:sz="4" w:space="0"/>
              <w:bottom w:val="single" w:color="000000" w:sz="4" w:space="0"/>
              <w:right w:val="single" w:color="000000" w:sz="4" w:space="0"/>
            </w:tcBorders>
            <w:shd w:val="clear" w:color="auto" w:fill="D1DD8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49.50 </w:t>
            </w:r>
          </w:p>
        </w:tc>
        <w:tc>
          <w:tcPr>
            <w:tcW w:w="1140" w:type="dxa"/>
            <w:tcBorders>
              <w:top w:val="single" w:color="000000" w:sz="4" w:space="0"/>
              <w:left w:val="single" w:color="000000" w:sz="4" w:space="0"/>
              <w:bottom w:val="single" w:color="000000" w:sz="4" w:space="0"/>
              <w:right w:val="single" w:color="000000" w:sz="4" w:space="0"/>
            </w:tcBorders>
            <w:shd w:val="clear" w:color="auto" w:fill="FFEB84"/>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50.40 </w:t>
            </w:r>
          </w:p>
        </w:tc>
        <w:tc>
          <w:tcPr>
            <w:tcW w:w="1140" w:type="dxa"/>
            <w:tcBorders>
              <w:top w:val="single" w:color="000000" w:sz="4" w:space="0"/>
              <w:left w:val="single" w:color="000000" w:sz="4" w:space="0"/>
              <w:bottom w:val="single" w:color="000000" w:sz="4" w:space="0"/>
              <w:right w:val="single" w:color="000000" w:sz="4" w:space="0"/>
            </w:tcBorders>
            <w:shd w:val="clear" w:color="auto" w:fill="FED680"/>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51.60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57.50 </w:t>
            </w:r>
          </w:p>
        </w:tc>
        <w:tc>
          <w:tcPr>
            <w:tcW w:w="1140" w:type="dxa"/>
            <w:tcBorders>
              <w:top w:val="single" w:color="000000" w:sz="4" w:space="0"/>
              <w:left w:val="single" w:color="000000" w:sz="4" w:space="0"/>
              <w:bottom w:val="single" w:color="000000" w:sz="4" w:space="0"/>
              <w:right w:val="single" w:color="000000" w:sz="4" w:space="0"/>
            </w:tcBorders>
            <w:shd w:val="clear" w:color="auto" w:fill="A9D27F"/>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48.70 </w:t>
            </w:r>
          </w:p>
        </w:tc>
        <w:tc>
          <w:tcPr>
            <w:tcW w:w="1140" w:type="dxa"/>
            <w:tcBorders>
              <w:top w:val="single" w:color="000000" w:sz="4" w:space="0"/>
              <w:left w:val="single" w:color="000000" w:sz="4" w:space="0"/>
              <w:bottom w:val="single" w:color="000000" w:sz="4" w:space="0"/>
              <w:right w:val="single" w:color="000000" w:sz="4" w:space="0"/>
            </w:tcBorders>
            <w:shd w:val="clear" w:color="auto" w:fill="63BE7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47.30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2024-06</w:t>
            </w:r>
          </w:p>
        </w:tc>
        <w:tc>
          <w:tcPr>
            <w:tcW w:w="1140" w:type="dxa"/>
            <w:tcBorders>
              <w:top w:val="single" w:color="000000" w:sz="4" w:space="0"/>
              <w:left w:val="single" w:color="000000" w:sz="4" w:space="0"/>
              <w:bottom w:val="single" w:color="000000" w:sz="4" w:space="0"/>
              <w:right w:val="single" w:color="000000" w:sz="4" w:space="0"/>
            </w:tcBorders>
            <w:shd w:val="clear" w:color="auto" w:fill="E4E3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49.50 </w:t>
            </w:r>
          </w:p>
        </w:tc>
        <w:tc>
          <w:tcPr>
            <w:tcW w:w="1140" w:type="dxa"/>
            <w:tcBorders>
              <w:top w:val="single" w:color="000000" w:sz="4" w:space="0"/>
              <w:left w:val="single" w:color="000000" w:sz="4" w:space="0"/>
              <w:bottom w:val="single" w:color="000000" w:sz="4" w:space="0"/>
              <w:right w:val="single" w:color="000000" w:sz="4" w:space="0"/>
            </w:tcBorders>
            <w:shd w:val="clear" w:color="auto" w:fill="E4E3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49.50 </w:t>
            </w:r>
          </w:p>
        </w:tc>
        <w:tc>
          <w:tcPr>
            <w:tcW w:w="1140" w:type="dxa"/>
            <w:tcBorders>
              <w:top w:val="single" w:color="000000" w:sz="4" w:space="0"/>
              <w:left w:val="single" w:color="000000" w:sz="4" w:space="0"/>
              <w:bottom w:val="single" w:color="000000" w:sz="4" w:space="0"/>
              <w:right w:val="single" w:color="000000" w:sz="4" w:space="0"/>
            </w:tcBorders>
            <w:shd w:val="clear" w:color="auto" w:fill="F5E8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50.00 </w:t>
            </w:r>
          </w:p>
        </w:tc>
        <w:tc>
          <w:tcPr>
            <w:tcW w:w="1140" w:type="dxa"/>
            <w:tcBorders>
              <w:top w:val="single" w:color="000000" w:sz="4" w:space="0"/>
              <w:left w:val="single" w:color="000000" w:sz="4" w:space="0"/>
              <w:bottom w:val="single" w:color="000000" w:sz="4" w:space="0"/>
              <w:right w:val="single" w:color="000000" w:sz="4" w:space="0"/>
            </w:tcBorders>
            <w:shd w:val="clear" w:color="auto" w:fill="FED07F"/>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52.00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58.30 </w:t>
            </w:r>
          </w:p>
        </w:tc>
        <w:tc>
          <w:tcPr>
            <w:tcW w:w="1140" w:type="dxa"/>
            <w:tcBorders>
              <w:top w:val="single" w:color="000000" w:sz="4" w:space="0"/>
              <w:left w:val="single" w:color="000000" w:sz="4" w:space="0"/>
              <w:bottom w:val="single" w:color="000000" w:sz="4" w:space="0"/>
              <w:right w:val="single" w:color="000000" w:sz="4" w:space="0"/>
            </w:tcBorders>
            <w:shd w:val="clear" w:color="auto" w:fill="FED580"/>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51.70 </w:t>
            </w:r>
          </w:p>
        </w:tc>
        <w:tc>
          <w:tcPr>
            <w:tcW w:w="1140" w:type="dxa"/>
            <w:tcBorders>
              <w:top w:val="single" w:color="000000" w:sz="4" w:space="0"/>
              <w:left w:val="single" w:color="000000" w:sz="4" w:space="0"/>
              <w:bottom w:val="single" w:color="000000" w:sz="4" w:space="0"/>
              <w:right w:val="single" w:color="000000" w:sz="4" w:space="0"/>
            </w:tcBorders>
            <w:shd w:val="clear" w:color="auto" w:fill="63BE7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45.60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2024-07</w:t>
            </w:r>
          </w:p>
        </w:tc>
        <w:tc>
          <w:tcPr>
            <w:tcW w:w="1140" w:type="dxa"/>
            <w:tcBorders>
              <w:top w:val="single" w:color="000000" w:sz="4" w:space="0"/>
              <w:left w:val="single" w:color="000000" w:sz="4" w:space="0"/>
              <w:bottom w:val="single" w:color="000000" w:sz="4" w:space="0"/>
              <w:right w:val="single" w:color="000000" w:sz="4" w:space="0"/>
            </w:tcBorders>
            <w:shd w:val="clear" w:color="auto" w:fill="FFEB84"/>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49.80 </w:t>
            </w:r>
          </w:p>
        </w:tc>
        <w:tc>
          <w:tcPr>
            <w:tcW w:w="1140" w:type="dxa"/>
            <w:tcBorders>
              <w:top w:val="single" w:color="000000" w:sz="4" w:space="0"/>
              <w:left w:val="single" w:color="000000" w:sz="4" w:space="0"/>
              <w:bottom w:val="single" w:color="000000" w:sz="4" w:space="0"/>
              <w:right w:val="single" w:color="000000" w:sz="4" w:space="0"/>
            </w:tcBorders>
            <w:shd w:val="clear" w:color="auto" w:fill="F3E7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49.40 </w:t>
            </w:r>
          </w:p>
        </w:tc>
        <w:tc>
          <w:tcPr>
            <w:tcW w:w="1140" w:type="dxa"/>
            <w:tcBorders>
              <w:top w:val="single" w:color="000000" w:sz="4" w:space="0"/>
              <w:left w:val="single" w:color="000000" w:sz="4" w:space="0"/>
              <w:bottom w:val="single" w:color="000000" w:sz="4" w:space="0"/>
              <w:right w:val="single" w:color="000000" w:sz="4" w:space="0"/>
            </w:tcBorders>
            <w:shd w:val="clear" w:color="auto" w:fill="E9E4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49.10 </w:t>
            </w:r>
          </w:p>
        </w:tc>
        <w:tc>
          <w:tcPr>
            <w:tcW w:w="1140" w:type="dxa"/>
            <w:tcBorders>
              <w:top w:val="single" w:color="000000" w:sz="4" w:space="0"/>
              <w:left w:val="single" w:color="000000" w:sz="4" w:space="0"/>
              <w:bottom w:val="single" w:color="000000" w:sz="4" w:space="0"/>
              <w:right w:val="single" w:color="000000" w:sz="4" w:space="0"/>
            </w:tcBorders>
            <w:shd w:val="clear" w:color="auto" w:fill="FED380"/>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51.40 </w:t>
            </w:r>
          </w:p>
        </w:tc>
        <w:tc>
          <w:tcPr>
            <w:tcW w:w="1140" w:type="dxa"/>
            <w:tcBorders>
              <w:top w:val="single" w:color="000000" w:sz="4" w:space="0"/>
              <w:left w:val="single" w:color="000000" w:sz="4" w:space="0"/>
              <w:bottom w:val="single" w:color="000000" w:sz="4" w:space="0"/>
              <w:right w:val="single" w:color="000000" w:sz="4" w:space="0"/>
            </w:tcBorders>
            <w:shd w:val="clear" w:color="auto" w:fill="F96E6C"/>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58.10 </w:t>
            </w:r>
          </w:p>
        </w:tc>
        <w:tc>
          <w:tcPr>
            <w:tcW w:w="1140" w:type="dxa"/>
            <w:tcBorders>
              <w:top w:val="single" w:color="000000" w:sz="4" w:space="0"/>
              <w:left w:val="single" w:color="000000" w:sz="4" w:space="0"/>
              <w:bottom w:val="single" w:color="000000" w:sz="4" w:space="0"/>
              <w:right w:val="single" w:color="000000" w:sz="4" w:space="0"/>
            </w:tcBorders>
            <w:shd w:val="clear" w:color="auto" w:fill="9ECF7E"/>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46.80 </w:t>
            </w:r>
          </w:p>
        </w:tc>
        <w:tc>
          <w:tcPr>
            <w:tcW w:w="1140" w:type="dxa"/>
            <w:tcBorders>
              <w:top w:val="single" w:color="000000" w:sz="4" w:space="0"/>
              <w:left w:val="single" w:color="000000" w:sz="4" w:space="0"/>
              <w:bottom w:val="single" w:color="000000" w:sz="4" w:space="0"/>
              <w:right w:val="single" w:color="000000" w:sz="4" w:space="0"/>
            </w:tcBorders>
            <w:shd w:val="clear" w:color="auto" w:fill="7DC57C"/>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45.80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2024-08</w:t>
            </w:r>
          </w:p>
        </w:tc>
        <w:tc>
          <w:tcPr>
            <w:tcW w:w="1140" w:type="dxa"/>
            <w:tcBorders>
              <w:top w:val="single" w:color="000000" w:sz="4" w:space="0"/>
              <w:left w:val="single" w:color="000000" w:sz="4" w:space="0"/>
              <w:bottom w:val="single" w:color="000000" w:sz="4" w:space="0"/>
              <w:right w:val="single" w:color="000000" w:sz="4" w:space="0"/>
            </w:tcBorders>
            <w:shd w:val="clear" w:color="auto" w:fill="E3E2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48.90 </w:t>
            </w:r>
          </w:p>
        </w:tc>
        <w:tc>
          <w:tcPr>
            <w:tcW w:w="1140" w:type="dxa"/>
            <w:tcBorders>
              <w:top w:val="single" w:color="000000" w:sz="4" w:space="0"/>
              <w:left w:val="single" w:color="000000" w:sz="4" w:space="0"/>
              <w:bottom w:val="single" w:color="000000" w:sz="4" w:space="0"/>
              <w:right w:val="single" w:color="000000" w:sz="4" w:space="0"/>
            </w:tcBorders>
            <w:shd w:val="clear" w:color="auto" w:fill="E9E4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49.10 </w:t>
            </w:r>
          </w:p>
        </w:tc>
        <w:tc>
          <w:tcPr>
            <w:tcW w:w="1140" w:type="dxa"/>
            <w:tcBorders>
              <w:top w:val="single" w:color="000000" w:sz="4" w:space="0"/>
              <w:left w:val="single" w:color="000000" w:sz="4" w:space="0"/>
              <w:bottom w:val="single" w:color="000000" w:sz="4" w:space="0"/>
              <w:right w:val="single" w:color="000000" w:sz="4" w:space="0"/>
            </w:tcBorders>
            <w:shd w:val="clear" w:color="auto" w:fill="FFEB84"/>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49.80 </w:t>
            </w:r>
          </w:p>
        </w:tc>
        <w:tc>
          <w:tcPr>
            <w:tcW w:w="1140" w:type="dxa"/>
            <w:tcBorders>
              <w:top w:val="single" w:color="000000" w:sz="4" w:space="0"/>
              <w:left w:val="single" w:color="000000" w:sz="4" w:space="0"/>
              <w:bottom w:val="single" w:color="000000" w:sz="4" w:space="0"/>
              <w:right w:val="single" w:color="000000" w:sz="4" w:space="0"/>
            </w:tcBorders>
            <w:shd w:val="clear" w:color="auto" w:fill="FECB7E"/>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51.90 </w:t>
            </w:r>
          </w:p>
        </w:tc>
        <w:tc>
          <w:tcPr>
            <w:tcW w:w="1140" w:type="dxa"/>
            <w:tcBorders>
              <w:top w:val="single" w:color="000000" w:sz="4" w:space="0"/>
              <w:left w:val="single" w:color="000000" w:sz="4" w:space="0"/>
              <w:bottom w:val="single" w:color="000000" w:sz="4" w:space="0"/>
              <w:right w:val="single" w:color="000000" w:sz="4" w:space="0"/>
            </w:tcBorders>
            <w:shd w:val="clear" w:color="auto" w:fill="F9776E"/>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57.50 </w:t>
            </w:r>
          </w:p>
        </w:tc>
        <w:tc>
          <w:tcPr>
            <w:tcW w:w="1140" w:type="dxa"/>
            <w:tcBorders>
              <w:top w:val="single" w:color="000000" w:sz="4" w:space="0"/>
              <w:left w:val="single" w:color="000000" w:sz="4" w:space="0"/>
              <w:bottom w:val="single" w:color="000000" w:sz="4" w:space="0"/>
              <w:right w:val="single" w:color="000000" w:sz="4" w:space="0"/>
            </w:tcBorders>
            <w:shd w:val="clear" w:color="auto" w:fill="ABD27F"/>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47.20 </w:t>
            </w:r>
          </w:p>
        </w:tc>
        <w:tc>
          <w:tcPr>
            <w:tcW w:w="1140" w:type="dxa"/>
            <w:tcBorders>
              <w:top w:val="single" w:color="000000" w:sz="4" w:space="0"/>
              <w:left w:val="single" w:color="000000" w:sz="4" w:space="0"/>
              <w:bottom w:val="single" w:color="000000" w:sz="4" w:space="0"/>
              <w:right w:val="single" w:color="000000" w:sz="4" w:space="0"/>
            </w:tcBorders>
            <w:shd w:val="clear" w:color="auto" w:fill="76C37C"/>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45.60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2024-09</w:t>
            </w:r>
          </w:p>
        </w:tc>
        <w:tc>
          <w:tcPr>
            <w:tcW w:w="1140" w:type="dxa"/>
            <w:tcBorders>
              <w:top w:val="single" w:color="000000" w:sz="4" w:space="0"/>
              <w:left w:val="single" w:color="000000" w:sz="4" w:space="0"/>
              <w:bottom w:val="single" w:color="000000" w:sz="4" w:space="0"/>
              <w:right w:val="single" w:color="000000" w:sz="4" w:space="0"/>
            </w:tcBorders>
            <w:shd w:val="clear" w:color="auto" w:fill="DFE1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48.80 </w:t>
            </w:r>
          </w:p>
        </w:tc>
        <w:tc>
          <w:tcPr>
            <w:tcW w:w="1140" w:type="dxa"/>
            <w:tcBorders>
              <w:top w:val="single" w:color="000000" w:sz="4" w:space="0"/>
              <w:left w:val="single" w:color="000000" w:sz="4" w:space="0"/>
              <w:bottom w:val="single" w:color="000000" w:sz="4" w:space="0"/>
              <w:right w:val="single" w:color="000000" w:sz="4" w:space="0"/>
            </w:tcBorders>
            <w:shd w:val="clear" w:color="auto" w:fill="FFEB84"/>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49.80 </w:t>
            </w:r>
          </w:p>
        </w:tc>
        <w:tc>
          <w:tcPr>
            <w:tcW w:w="1140" w:type="dxa"/>
            <w:tcBorders>
              <w:top w:val="single" w:color="000000" w:sz="4" w:space="0"/>
              <w:left w:val="single" w:color="000000" w:sz="4" w:space="0"/>
              <w:bottom w:val="single" w:color="000000" w:sz="4" w:space="0"/>
              <w:right w:val="single" w:color="000000" w:sz="4" w:space="0"/>
            </w:tcBorders>
            <w:shd w:val="clear" w:color="auto" w:fill="FDEA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49.70 </w:t>
            </w:r>
          </w:p>
        </w:tc>
        <w:tc>
          <w:tcPr>
            <w:tcW w:w="1140" w:type="dxa"/>
            <w:tcBorders>
              <w:top w:val="single" w:color="000000" w:sz="4" w:space="0"/>
              <w:left w:val="single" w:color="000000" w:sz="4" w:space="0"/>
              <w:bottom w:val="single" w:color="000000" w:sz="4" w:space="0"/>
              <w:right w:val="single" w:color="000000" w:sz="4" w:space="0"/>
            </w:tcBorders>
            <w:shd w:val="clear" w:color="auto" w:fill="CFDD8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48.30 </w:t>
            </w:r>
          </w:p>
        </w:tc>
        <w:tc>
          <w:tcPr>
            <w:tcW w:w="1140" w:type="dxa"/>
            <w:tcBorders>
              <w:top w:val="single" w:color="000000" w:sz="4" w:space="0"/>
              <w:left w:val="single" w:color="000000" w:sz="4" w:space="0"/>
              <w:bottom w:val="single" w:color="000000" w:sz="4" w:space="0"/>
              <w:right w:val="single" w:color="000000" w:sz="4" w:space="0"/>
            </w:tcBorders>
            <w:shd w:val="clear" w:color="auto" w:fill="FA867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56.50 </w:t>
            </w:r>
          </w:p>
        </w:tc>
        <w:tc>
          <w:tcPr>
            <w:tcW w:w="1140" w:type="dxa"/>
            <w:tcBorders>
              <w:top w:val="single" w:color="000000" w:sz="4" w:space="0"/>
              <w:left w:val="single" w:color="000000" w:sz="4" w:space="0"/>
              <w:bottom w:val="single" w:color="000000" w:sz="4" w:space="0"/>
              <w:right w:val="single" w:color="000000" w:sz="4" w:space="0"/>
            </w:tcBorders>
            <w:shd w:val="clear" w:color="auto" w:fill="ABD27F"/>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47.20 </w:t>
            </w:r>
          </w:p>
        </w:tc>
        <w:tc>
          <w:tcPr>
            <w:tcW w:w="1140" w:type="dxa"/>
            <w:tcBorders>
              <w:top w:val="single" w:color="000000" w:sz="4" w:space="0"/>
              <w:left w:val="single" w:color="000000" w:sz="4" w:space="0"/>
              <w:bottom w:val="single" w:color="000000" w:sz="4" w:space="0"/>
              <w:right w:val="single" w:color="000000" w:sz="4" w:space="0"/>
            </w:tcBorders>
            <w:shd w:val="clear" w:color="auto" w:fill="63BE7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2024-10</w:t>
            </w:r>
          </w:p>
        </w:tc>
        <w:tc>
          <w:tcPr>
            <w:tcW w:w="1140" w:type="dxa"/>
            <w:tcBorders>
              <w:top w:val="single" w:color="000000" w:sz="4" w:space="0"/>
              <w:left w:val="single" w:color="000000" w:sz="4" w:space="0"/>
              <w:bottom w:val="single" w:color="000000" w:sz="4" w:space="0"/>
              <w:right w:val="single" w:color="000000" w:sz="4" w:space="0"/>
            </w:tcBorders>
            <w:shd w:val="clear" w:color="auto" w:fill="DFE1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48.80 </w:t>
            </w:r>
          </w:p>
        </w:tc>
        <w:tc>
          <w:tcPr>
            <w:tcW w:w="1140" w:type="dxa"/>
            <w:tcBorders>
              <w:top w:val="single" w:color="000000" w:sz="4" w:space="0"/>
              <w:left w:val="single" w:color="000000" w:sz="4" w:space="0"/>
              <w:bottom w:val="single" w:color="000000" w:sz="4" w:space="0"/>
              <w:right w:val="single" w:color="000000" w:sz="4" w:space="0"/>
            </w:tcBorders>
            <w:shd w:val="clear" w:color="auto" w:fill="FFE6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50.10 </w:t>
            </w:r>
          </w:p>
        </w:tc>
        <w:tc>
          <w:tcPr>
            <w:tcW w:w="1140" w:type="dxa"/>
            <w:tcBorders>
              <w:top w:val="single" w:color="000000" w:sz="4" w:space="0"/>
              <w:left w:val="single" w:color="000000" w:sz="4" w:space="0"/>
              <w:bottom w:val="single" w:color="000000" w:sz="4" w:space="0"/>
              <w:right w:val="single" w:color="000000" w:sz="4" w:space="0"/>
            </w:tcBorders>
            <w:shd w:val="clear" w:color="auto" w:fill="FFEB84"/>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49.80 </w:t>
            </w:r>
          </w:p>
        </w:tc>
        <w:tc>
          <w:tcPr>
            <w:tcW w:w="1140" w:type="dxa"/>
            <w:tcBorders>
              <w:top w:val="single" w:color="000000" w:sz="4" w:space="0"/>
              <w:left w:val="single" w:color="000000" w:sz="4" w:space="0"/>
              <w:bottom w:val="single" w:color="000000" w:sz="4" w:space="0"/>
              <w:right w:val="single" w:color="000000" w:sz="4" w:space="0"/>
            </w:tcBorders>
            <w:shd w:val="clear" w:color="auto" w:fill="CFDD8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48.30 </w:t>
            </w:r>
          </w:p>
        </w:tc>
        <w:tc>
          <w:tcPr>
            <w:tcW w:w="1140" w:type="dxa"/>
            <w:tcBorders>
              <w:top w:val="single" w:color="000000" w:sz="4" w:space="0"/>
              <w:left w:val="single" w:color="000000" w:sz="4" w:space="0"/>
              <w:bottom w:val="single" w:color="000000" w:sz="4" w:space="0"/>
              <w:right w:val="single" w:color="000000" w:sz="4" w:space="0"/>
            </w:tcBorders>
            <w:shd w:val="clear" w:color="auto" w:fill="F9776E"/>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57.50 </w:t>
            </w:r>
          </w:p>
        </w:tc>
        <w:tc>
          <w:tcPr>
            <w:tcW w:w="1140" w:type="dxa"/>
            <w:tcBorders>
              <w:top w:val="single" w:color="000000" w:sz="4" w:space="0"/>
              <w:left w:val="single" w:color="000000" w:sz="4" w:space="0"/>
              <w:bottom w:val="single" w:color="000000" w:sz="4" w:space="0"/>
              <w:right w:val="single" w:color="000000" w:sz="4" w:space="0"/>
            </w:tcBorders>
            <w:shd w:val="clear" w:color="auto" w:fill="94CC7D"/>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46.50 </w:t>
            </w:r>
          </w:p>
        </w:tc>
        <w:tc>
          <w:tcPr>
            <w:tcW w:w="1140" w:type="dxa"/>
            <w:tcBorders>
              <w:top w:val="single" w:color="000000" w:sz="4" w:space="0"/>
              <w:left w:val="single" w:color="000000" w:sz="4" w:space="0"/>
              <w:bottom w:val="single" w:color="000000" w:sz="4" w:space="0"/>
              <w:right w:val="single" w:color="000000" w:sz="4" w:space="0"/>
            </w:tcBorders>
            <w:shd w:val="clear" w:color="auto" w:fill="83C77C"/>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2024-11</w:t>
            </w:r>
          </w:p>
        </w:tc>
        <w:tc>
          <w:tcPr>
            <w:tcW w:w="1140" w:type="dxa"/>
            <w:tcBorders>
              <w:top w:val="single" w:color="000000" w:sz="4" w:space="0"/>
              <w:left w:val="single" w:color="000000" w:sz="4" w:space="0"/>
              <w:bottom w:val="single" w:color="000000" w:sz="4" w:space="0"/>
              <w:right w:val="single" w:color="000000" w:sz="4" w:space="0"/>
            </w:tcBorders>
            <w:shd w:val="clear" w:color="auto" w:fill="FDBC7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50.00 </w:t>
            </w:r>
          </w:p>
        </w:tc>
        <w:tc>
          <w:tcPr>
            <w:tcW w:w="1140" w:type="dxa"/>
            <w:tcBorders>
              <w:top w:val="single" w:color="000000" w:sz="4" w:space="0"/>
              <w:left w:val="single" w:color="000000" w:sz="4" w:space="0"/>
              <w:bottom w:val="single" w:color="000000" w:sz="4" w:space="0"/>
              <w:right w:val="single" w:color="000000" w:sz="4" w:space="0"/>
            </w:tcBorders>
            <w:shd w:val="clear" w:color="auto" w:fill="FB937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50.30 </w:t>
            </w:r>
          </w:p>
        </w:tc>
        <w:tc>
          <w:tcPr>
            <w:tcW w:w="1140" w:type="dxa"/>
            <w:tcBorders>
              <w:top w:val="single" w:color="000000" w:sz="4" w:space="0"/>
              <w:left w:val="single" w:color="000000" w:sz="4" w:space="0"/>
              <w:bottom w:val="single" w:color="000000" w:sz="4" w:space="0"/>
              <w:right w:val="single" w:color="000000" w:sz="4" w:space="0"/>
            </w:tcBorders>
            <w:shd w:val="clear" w:color="auto" w:fill="ADD37F"/>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49.00 </w:t>
            </w:r>
          </w:p>
        </w:tc>
        <w:tc>
          <w:tcPr>
            <w:tcW w:w="1140" w:type="dxa"/>
            <w:tcBorders>
              <w:top w:val="single" w:color="000000" w:sz="4" w:space="0"/>
              <w:left w:val="single" w:color="000000" w:sz="4" w:space="0"/>
              <w:bottom w:val="single" w:color="000000" w:sz="4" w:space="0"/>
              <w:right w:val="single" w:color="000000" w:sz="4" w:space="0"/>
            </w:tcBorders>
            <w:shd w:val="clear" w:color="auto" w:fill="FFEB84"/>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50.60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56.50 </w:t>
            </w:r>
          </w:p>
        </w:tc>
        <w:tc>
          <w:tcPr>
            <w:tcW w:w="1140" w:type="dxa"/>
            <w:tcBorders>
              <w:top w:val="single" w:color="000000" w:sz="4" w:space="0"/>
              <w:left w:val="single" w:color="000000" w:sz="4" w:space="0"/>
              <w:bottom w:val="single" w:color="000000" w:sz="4" w:space="0"/>
              <w:right w:val="single" w:color="000000" w:sz="4" w:space="0"/>
            </w:tcBorders>
            <w:shd w:val="clear" w:color="auto" w:fill="D2DE8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48.40 </w:t>
            </w:r>
          </w:p>
        </w:tc>
        <w:tc>
          <w:tcPr>
            <w:tcW w:w="1140" w:type="dxa"/>
            <w:tcBorders>
              <w:top w:val="single" w:color="000000" w:sz="4" w:space="0"/>
              <w:left w:val="single" w:color="000000" w:sz="4" w:space="0"/>
              <w:bottom w:val="single" w:color="000000" w:sz="4" w:space="0"/>
              <w:right w:val="single" w:color="000000" w:sz="4" w:space="0"/>
            </w:tcBorders>
            <w:shd w:val="clear" w:color="auto" w:fill="69BF7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45.20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2024-12</w:t>
            </w:r>
          </w:p>
        </w:tc>
        <w:tc>
          <w:tcPr>
            <w:tcW w:w="1140" w:type="dxa"/>
            <w:tcBorders>
              <w:top w:val="single" w:color="000000" w:sz="4" w:space="0"/>
              <w:left w:val="single" w:color="000000" w:sz="4" w:space="0"/>
              <w:bottom w:val="single" w:color="000000" w:sz="4" w:space="0"/>
              <w:right w:val="single" w:color="000000" w:sz="4" w:space="0"/>
            </w:tcBorders>
            <w:shd w:val="clear" w:color="auto" w:fill="F8E9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49.60 </w:t>
            </w:r>
          </w:p>
        </w:tc>
        <w:tc>
          <w:tcPr>
            <w:tcW w:w="1140" w:type="dxa"/>
            <w:tcBorders>
              <w:top w:val="single" w:color="000000" w:sz="4" w:space="0"/>
              <w:left w:val="single" w:color="000000" w:sz="4" w:space="0"/>
              <w:bottom w:val="single" w:color="000000" w:sz="4" w:space="0"/>
              <w:right w:val="single" w:color="000000" w:sz="4" w:space="0"/>
            </w:tcBorders>
            <w:shd w:val="clear" w:color="auto" w:fill="FCAE79"/>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50.10 </w:t>
            </w:r>
          </w:p>
        </w:tc>
        <w:tc>
          <w:tcPr>
            <w:tcW w:w="1140" w:type="dxa"/>
            <w:tcBorders>
              <w:top w:val="single" w:color="000000" w:sz="4" w:space="0"/>
              <w:left w:val="single" w:color="000000" w:sz="4" w:space="0"/>
              <w:bottom w:val="single" w:color="000000" w:sz="4" w:space="0"/>
              <w:right w:val="single" w:color="000000" w:sz="4" w:space="0"/>
            </w:tcBorders>
            <w:shd w:val="clear" w:color="auto" w:fill="F8E9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49.60 </w:t>
            </w:r>
          </w:p>
        </w:tc>
        <w:tc>
          <w:tcPr>
            <w:tcW w:w="1140" w:type="dxa"/>
            <w:tcBorders>
              <w:top w:val="single" w:color="000000" w:sz="4" w:space="0"/>
              <w:left w:val="single" w:color="000000" w:sz="4" w:space="0"/>
              <w:bottom w:val="single" w:color="000000" w:sz="4" w:space="0"/>
              <w:right w:val="single" w:color="000000" w:sz="4" w:space="0"/>
            </w:tcBorders>
            <w:shd w:val="clear" w:color="auto" w:fill="FFEB84"/>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49.00 </w:t>
            </w:r>
          </w:p>
        </w:tc>
        <w:tc>
          <w:tcPr>
            <w:tcW w:w="1140" w:type="dxa"/>
            <w:tcBorders>
              <w:top w:val="single" w:color="000000" w:sz="4" w:space="0"/>
              <w:left w:val="single" w:color="000000" w:sz="4" w:space="0"/>
              <w:bottom w:val="single" w:color="000000" w:sz="4" w:space="0"/>
              <w:right w:val="single" w:color="000000" w:sz="4" w:space="0"/>
            </w:tcBorders>
            <w:shd w:val="clear" w:color="auto" w:fill="FA887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56.40 </w:t>
            </w:r>
          </w:p>
        </w:tc>
        <w:tc>
          <w:tcPr>
            <w:tcW w:w="1140" w:type="dxa"/>
            <w:tcBorders>
              <w:top w:val="single" w:color="000000" w:sz="4" w:space="0"/>
              <w:left w:val="single" w:color="000000" w:sz="4" w:space="0"/>
              <w:bottom w:val="single" w:color="000000" w:sz="4" w:space="0"/>
              <w:right w:val="single" w:color="000000" w:sz="4" w:space="0"/>
            </w:tcBorders>
            <w:shd w:val="clear" w:color="auto" w:fill="ECE5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49.20 </w:t>
            </w:r>
          </w:p>
        </w:tc>
        <w:tc>
          <w:tcPr>
            <w:tcW w:w="1140" w:type="dxa"/>
            <w:tcBorders>
              <w:top w:val="single" w:color="000000" w:sz="4" w:space="0"/>
              <w:left w:val="single" w:color="000000" w:sz="4" w:space="0"/>
              <w:bottom w:val="single" w:color="000000" w:sz="4" w:space="0"/>
              <w:right w:val="single" w:color="000000" w:sz="4" w:space="0"/>
            </w:tcBorders>
            <w:shd w:val="clear" w:color="auto" w:fill="66BE7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45.10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2025-1</w:t>
            </w:r>
          </w:p>
        </w:tc>
        <w:tc>
          <w:tcPr>
            <w:tcW w:w="1140" w:type="dxa"/>
            <w:tcBorders>
              <w:top w:val="single" w:color="000000" w:sz="4" w:space="0"/>
              <w:left w:val="single" w:color="000000" w:sz="4" w:space="0"/>
              <w:bottom w:val="single" w:color="000000" w:sz="4" w:space="0"/>
              <w:right w:val="single" w:color="000000" w:sz="4" w:space="0"/>
            </w:tcBorders>
            <w:shd w:val="clear" w:color="auto" w:fill="FCAE79"/>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50.10 </w:t>
            </w:r>
          </w:p>
        </w:tc>
        <w:tc>
          <w:tcPr>
            <w:tcW w:w="1140" w:type="dxa"/>
            <w:tcBorders>
              <w:top w:val="single" w:color="000000" w:sz="4" w:space="0"/>
              <w:left w:val="single" w:color="000000" w:sz="4" w:space="0"/>
              <w:bottom w:val="single" w:color="000000" w:sz="4" w:space="0"/>
              <w:right w:val="single" w:color="000000" w:sz="4" w:space="0"/>
            </w:tcBorders>
            <w:shd w:val="clear" w:color="auto" w:fill="BAD780"/>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49.10 </w:t>
            </w:r>
          </w:p>
        </w:tc>
        <w:tc>
          <w:tcPr>
            <w:tcW w:w="1140" w:type="dxa"/>
            <w:tcBorders>
              <w:top w:val="single" w:color="000000" w:sz="4" w:space="0"/>
              <w:left w:val="single" w:color="000000" w:sz="4" w:space="0"/>
              <w:bottom w:val="single" w:color="000000" w:sz="4" w:space="0"/>
              <w:right w:val="single" w:color="000000" w:sz="4" w:space="0"/>
            </w:tcBorders>
            <w:shd w:val="clear" w:color="auto" w:fill="88C87D"/>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48.70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50.30 </w:t>
            </w:r>
          </w:p>
        </w:tc>
        <w:tc>
          <w:tcPr>
            <w:tcW w:w="1140" w:type="dxa"/>
            <w:tcBorders>
              <w:top w:val="single" w:color="000000" w:sz="4" w:space="0"/>
              <w:left w:val="single" w:color="000000" w:sz="4" w:space="0"/>
              <w:bottom w:val="single" w:color="000000" w:sz="4" w:space="0"/>
              <w:right w:val="single" w:color="000000" w:sz="4" w:space="0"/>
            </w:tcBorders>
            <w:shd w:val="clear" w:color="auto" w:fill="F9746E"/>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57.70 </w:t>
            </w:r>
          </w:p>
        </w:tc>
        <w:tc>
          <w:tcPr>
            <w:tcW w:w="1140" w:type="dxa"/>
            <w:tcBorders>
              <w:top w:val="single" w:color="000000" w:sz="4" w:space="0"/>
              <w:left w:val="single" w:color="000000" w:sz="4" w:space="0"/>
              <w:bottom w:val="single" w:color="000000" w:sz="4" w:space="0"/>
              <w:right w:val="single" w:color="000000" w:sz="4" w:space="0"/>
            </w:tcBorders>
            <w:shd w:val="clear" w:color="auto" w:fill="FFDA8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50.90 </w:t>
            </w:r>
          </w:p>
        </w:tc>
        <w:tc>
          <w:tcPr>
            <w:tcW w:w="1140" w:type="dxa"/>
            <w:tcBorders>
              <w:top w:val="single" w:color="000000" w:sz="4" w:space="0"/>
              <w:left w:val="single" w:color="000000" w:sz="4" w:space="0"/>
              <w:bottom w:val="single" w:color="000000" w:sz="4" w:space="0"/>
              <w:right w:val="single" w:color="000000" w:sz="4" w:space="0"/>
            </w:tcBorders>
            <w:shd w:val="clear" w:color="auto" w:fill="97CD7E"/>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46.60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2025-2</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50.60 </w:t>
            </w:r>
          </w:p>
        </w:tc>
        <w:tc>
          <w:tcPr>
            <w:tcW w:w="1140" w:type="dxa"/>
            <w:tcBorders>
              <w:top w:val="single" w:color="000000" w:sz="4" w:space="0"/>
              <w:left w:val="single" w:color="000000" w:sz="4" w:space="0"/>
              <w:bottom w:val="single" w:color="000000" w:sz="4" w:space="0"/>
              <w:right w:val="single" w:color="000000" w:sz="4" w:space="0"/>
            </w:tcBorders>
            <w:shd w:val="clear" w:color="auto" w:fill="FBA076"/>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50.20 </w:t>
            </w:r>
          </w:p>
        </w:tc>
        <w:tc>
          <w:tcPr>
            <w:tcW w:w="1140" w:type="dxa"/>
            <w:tcBorders>
              <w:top w:val="single" w:color="000000" w:sz="4" w:space="0"/>
              <w:left w:val="single" w:color="000000" w:sz="4" w:space="0"/>
              <w:bottom w:val="single" w:color="000000" w:sz="4" w:space="0"/>
              <w:right w:val="single" w:color="000000" w:sz="4" w:space="0"/>
            </w:tcBorders>
            <w:shd w:val="clear" w:color="auto" w:fill="ADD37F"/>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49.00 </w:t>
            </w:r>
          </w:p>
        </w:tc>
        <w:tc>
          <w:tcPr>
            <w:tcW w:w="1140" w:type="dxa"/>
            <w:tcBorders>
              <w:top w:val="single" w:color="000000" w:sz="4" w:space="0"/>
              <w:left w:val="single" w:color="000000" w:sz="4" w:space="0"/>
              <w:bottom w:val="single" w:color="000000" w:sz="4" w:space="0"/>
              <w:right w:val="single" w:color="000000" w:sz="4" w:space="0"/>
            </w:tcBorders>
            <w:shd w:val="clear" w:color="auto" w:fill="FB917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49.90 </w:t>
            </w:r>
          </w:p>
        </w:tc>
        <w:tc>
          <w:tcPr>
            <w:tcW w:w="1140" w:type="dxa"/>
            <w:tcBorders>
              <w:top w:val="single" w:color="000000" w:sz="4" w:space="0"/>
              <w:left w:val="single" w:color="000000" w:sz="4" w:space="0"/>
              <w:bottom w:val="single" w:color="000000" w:sz="4" w:space="0"/>
              <w:right w:val="single" w:color="000000" w:sz="4" w:space="0"/>
            </w:tcBorders>
            <w:shd w:val="clear" w:color="auto" w:fill="FA897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56.30 </w:t>
            </w:r>
          </w:p>
        </w:tc>
        <w:tc>
          <w:tcPr>
            <w:tcW w:w="1140" w:type="dxa"/>
            <w:tcBorders>
              <w:top w:val="single" w:color="000000" w:sz="4" w:space="0"/>
              <w:left w:val="single" w:color="000000" w:sz="4" w:space="0"/>
              <w:bottom w:val="single" w:color="000000" w:sz="4" w:space="0"/>
              <w:right w:val="single" w:color="000000" w:sz="4" w:space="0"/>
            </w:tcBorders>
            <w:shd w:val="clear" w:color="auto" w:fill="FFE3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50.30 </w:t>
            </w:r>
          </w:p>
        </w:tc>
        <w:tc>
          <w:tcPr>
            <w:tcW w:w="1140" w:type="dxa"/>
            <w:tcBorders>
              <w:top w:val="single" w:color="000000" w:sz="4" w:space="0"/>
              <w:left w:val="single" w:color="000000" w:sz="4" w:space="0"/>
              <w:bottom w:val="single" w:color="000000" w:sz="4" w:space="0"/>
              <w:right w:val="single" w:color="000000" w:sz="4" w:space="0"/>
            </w:tcBorders>
            <w:shd w:val="clear" w:color="auto" w:fill="B8D67F"/>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47.60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2025-3</w:t>
            </w:r>
          </w:p>
        </w:tc>
        <w:tc>
          <w:tcPr>
            <w:tcW w:w="1140" w:type="dxa"/>
            <w:tcBorders>
              <w:top w:val="single" w:color="000000" w:sz="4" w:space="0"/>
              <w:left w:val="single" w:color="000000" w:sz="4" w:space="0"/>
              <w:bottom w:val="single" w:color="000000" w:sz="4" w:space="0"/>
              <w:right w:val="single" w:color="000000" w:sz="4" w:space="0"/>
            </w:tcBorders>
            <w:shd w:val="clear" w:color="auto" w:fill="FB937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50.30 </w:t>
            </w:r>
          </w:p>
        </w:tc>
        <w:tc>
          <w:tcPr>
            <w:tcW w:w="1140" w:type="dxa"/>
            <w:tcBorders>
              <w:top w:val="single" w:color="000000" w:sz="4" w:space="0"/>
              <w:left w:val="single" w:color="000000" w:sz="4" w:space="0"/>
              <w:bottom w:val="single" w:color="000000" w:sz="4" w:space="0"/>
              <w:right w:val="single" w:color="000000" w:sz="4" w:space="0"/>
            </w:tcBorders>
            <w:shd w:val="clear" w:color="auto" w:fill="F9776E"/>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50.50 </w:t>
            </w:r>
          </w:p>
        </w:tc>
        <w:tc>
          <w:tcPr>
            <w:tcW w:w="1140" w:type="dxa"/>
            <w:tcBorders>
              <w:top w:val="single" w:color="000000" w:sz="4" w:space="0"/>
              <w:left w:val="single" w:color="000000" w:sz="4" w:space="0"/>
              <w:bottom w:val="single" w:color="000000" w:sz="4" w:space="0"/>
              <w:right w:val="single" w:color="000000" w:sz="4" w:space="0"/>
            </w:tcBorders>
            <w:shd w:val="clear" w:color="auto" w:fill="63BE7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48.40 </w:t>
            </w:r>
          </w:p>
        </w:tc>
        <w:tc>
          <w:tcPr>
            <w:tcW w:w="1140" w:type="dxa"/>
            <w:tcBorders>
              <w:top w:val="single" w:color="000000" w:sz="4" w:space="0"/>
              <w:left w:val="single" w:color="000000" w:sz="4" w:space="0"/>
              <w:bottom w:val="single" w:color="000000" w:sz="4" w:space="0"/>
              <w:right w:val="single" w:color="000000" w:sz="4" w:space="0"/>
            </w:tcBorders>
            <w:shd w:val="clear" w:color="auto" w:fill="FFE1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49.10 </w:t>
            </w:r>
          </w:p>
        </w:tc>
        <w:tc>
          <w:tcPr>
            <w:tcW w:w="1140" w:type="dxa"/>
            <w:tcBorders>
              <w:top w:val="single" w:color="000000" w:sz="4" w:space="0"/>
              <w:left w:val="single" w:color="000000" w:sz="4" w:space="0"/>
              <w:bottom w:val="single" w:color="000000" w:sz="4" w:space="0"/>
              <w:right w:val="single" w:color="000000" w:sz="4" w:space="0"/>
            </w:tcBorders>
            <w:shd w:val="clear" w:color="auto" w:fill="F96E6C"/>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58.10 </w:t>
            </w:r>
          </w:p>
        </w:tc>
        <w:tc>
          <w:tcPr>
            <w:tcW w:w="1140" w:type="dxa"/>
            <w:tcBorders>
              <w:top w:val="single" w:color="000000" w:sz="4" w:space="0"/>
              <w:left w:val="single" w:color="000000" w:sz="4" w:space="0"/>
              <w:bottom w:val="single" w:color="000000" w:sz="4" w:space="0"/>
              <w:right w:val="single" w:color="000000" w:sz="4" w:space="0"/>
            </w:tcBorders>
            <w:shd w:val="clear" w:color="auto" w:fill="E6E3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49.00 </w:t>
            </w:r>
          </w:p>
        </w:tc>
        <w:tc>
          <w:tcPr>
            <w:tcW w:w="1140" w:type="dxa"/>
            <w:tcBorders>
              <w:top w:val="single" w:color="000000" w:sz="4" w:space="0"/>
              <w:left w:val="single" w:color="000000" w:sz="4" w:space="0"/>
              <w:bottom w:val="single" w:color="000000" w:sz="4" w:space="0"/>
              <w:right w:val="single" w:color="000000" w:sz="4" w:space="0"/>
            </w:tcBorders>
            <w:shd w:val="clear" w:color="auto" w:fill="D9E08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2025-4</w:t>
            </w:r>
          </w:p>
        </w:tc>
        <w:tc>
          <w:tcPr>
            <w:tcW w:w="1140" w:type="dxa"/>
            <w:tcBorders>
              <w:top w:val="single" w:color="000000" w:sz="4" w:space="0"/>
              <w:left w:val="single" w:color="000000" w:sz="4" w:space="0"/>
              <w:bottom w:val="single" w:color="000000" w:sz="4" w:space="0"/>
              <w:right w:val="single" w:color="000000" w:sz="4" w:space="0"/>
            </w:tcBorders>
            <w:shd w:val="clear" w:color="auto" w:fill="FED78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49.80 </w:t>
            </w:r>
          </w:p>
        </w:tc>
        <w:tc>
          <w:tcPr>
            <w:tcW w:w="1140" w:type="dxa"/>
            <w:tcBorders>
              <w:top w:val="single" w:color="000000" w:sz="4" w:space="0"/>
              <w:left w:val="single" w:color="000000" w:sz="4" w:space="0"/>
              <w:bottom w:val="single" w:color="000000" w:sz="4" w:space="0"/>
              <w:right w:val="single" w:color="000000" w:sz="4" w:space="0"/>
            </w:tcBorders>
            <w:shd w:val="clear" w:color="auto" w:fill="ADD37F"/>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49.00 </w:t>
            </w:r>
          </w:p>
        </w:tc>
        <w:tc>
          <w:tcPr>
            <w:tcW w:w="1140" w:type="dxa"/>
            <w:tcBorders>
              <w:top w:val="single" w:color="000000" w:sz="4" w:space="0"/>
              <w:left w:val="single" w:color="000000" w:sz="4" w:space="0"/>
              <w:bottom w:val="single" w:color="000000" w:sz="4" w:space="0"/>
              <w:right w:val="single" w:color="000000" w:sz="4" w:space="0"/>
            </w:tcBorders>
            <w:shd w:val="clear" w:color="auto" w:fill="88C87D"/>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48.70 </w:t>
            </w:r>
          </w:p>
        </w:tc>
        <w:tc>
          <w:tcPr>
            <w:tcW w:w="1140" w:type="dxa"/>
            <w:tcBorders>
              <w:top w:val="single" w:color="000000" w:sz="4" w:space="0"/>
              <w:left w:val="single" w:color="000000" w:sz="4" w:space="0"/>
              <w:bottom w:val="single" w:color="000000" w:sz="4" w:space="0"/>
              <w:right w:val="single" w:color="000000" w:sz="4" w:space="0"/>
            </w:tcBorders>
            <w:shd w:val="clear" w:color="auto" w:fill="63BE7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47.50 </w:t>
            </w:r>
          </w:p>
        </w:tc>
        <w:tc>
          <w:tcPr>
            <w:tcW w:w="1140" w:type="dxa"/>
            <w:tcBorders>
              <w:top w:val="single" w:color="000000" w:sz="4" w:space="0"/>
              <w:left w:val="single" w:color="000000" w:sz="4" w:space="0"/>
              <w:bottom w:val="single" w:color="000000" w:sz="4" w:space="0"/>
              <w:right w:val="single" w:color="000000" w:sz="4" w:space="0"/>
            </w:tcBorders>
            <w:shd w:val="clear" w:color="auto" w:fill="F96D6C"/>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58.20 </w:t>
            </w:r>
          </w:p>
        </w:tc>
        <w:tc>
          <w:tcPr>
            <w:tcW w:w="1140" w:type="dxa"/>
            <w:tcBorders>
              <w:top w:val="single" w:color="000000" w:sz="4" w:space="0"/>
              <w:left w:val="single" w:color="000000" w:sz="4" w:space="0"/>
              <w:bottom w:val="single" w:color="000000" w:sz="4" w:space="0"/>
              <w:right w:val="single" w:color="000000" w:sz="4" w:space="0"/>
            </w:tcBorders>
            <w:shd w:val="clear" w:color="auto" w:fill="DCE1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48.70 </w:t>
            </w:r>
          </w:p>
        </w:tc>
        <w:tc>
          <w:tcPr>
            <w:tcW w:w="1140" w:type="dxa"/>
            <w:tcBorders>
              <w:top w:val="single" w:color="000000" w:sz="4" w:space="0"/>
              <w:left w:val="single" w:color="000000" w:sz="4" w:space="0"/>
              <w:bottom w:val="single" w:color="000000" w:sz="4" w:space="0"/>
              <w:right w:val="single" w:color="000000" w:sz="4" w:space="0"/>
            </w:tcBorders>
            <w:shd w:val="clear" w:color="auto" w:fill="E6E3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2025-5</w:t>
            </w:r>
          </w:p>
        </w:tc>
        <w:tc>
          <w:tcPr>
            <w:tcW w:w="1140" w:type="dxa"/>
            <w:tcBorders>
              <w:top w:val="single" w:color="000000" w:sz="4" w:space="0"/>
              <w:left w:val="single" w:color="000000" w:sz="4" w:space="0"/>
              <w:bottom w:val="single" w:color="000000" w:sz="4" w:space="0"/>
              <w:right w:val="single" w:color="000000" w:sz="4" w:space="0"/>
            </w:tcBorders>
            <w:shd w:val="clear" w:color="auto" w:fill="F8E9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49.60 </w:t>
            </w:r>
          </w:p>
        </w:tc>
        <w:tc>
          <w:tcPr>
            <w:tcW w:w="1140" w:type="dxa"/>
            <w:tcBorders>
              <w:top w:val="single" w:color="000000" w:sz="4" w:space="0"/>
              <w:left w:val="single" w:color="000000" w:sz="4" w:space="0"/>
              <w:bottom w:val="single" w:color="000000" w:sz="4" w:space="0"/>
              <w:right w:val="single" w:color="000000" w:sz="4" w:space="0"/>
            </w:tcBorders>
            <w:shd w:val="clear" w:color="auto" w:fill="ECE5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49.50 </w:t>
            </w:r>
          </w:p>
        </w:tc>
        <w:tc>
          <w:tcPr>
            <w:tcW w:w="1140" w:type="dxa"/>
            <w:tcBorders>
              <w:top w:val="single" w:color="000000" w:sz="4" w:space="0"/>
              <w:left w:val="single" w:color="000000" w:sz="4" w:space="0"/>
              <w:bottom w:val="single" w:color="000000" w:sz="4" w:space="0"/>
              <w:right w:val="single" w:color="000000" w:sz="4" w:space="0"/>
            </w:tcBorders>
            <w:shd w:val="clear" w:color="auto" w:fill="DFE1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49.40 </w:t>
            </w:r>
          </w:p>
        </w:tc>
        <w:tc>
          <w:tcPr>
            <w:tcW w:w="1140" w:type="dxa"/>
            <w:tcBorders>
              <w:top w:val="single" w:color="000000" w:sz="4" w:space="0"/>
              <w:left w:val="single" w:color="000000" w:sz="4" w:space="0"/>
              <w:bottom w:val="single" w:color="000000" w:sz="4" w:space="0"/>
              <w:right w:val="single" w:color="000000" w:sz="4" w:space="0"/>
            </w:tcBorders>
            <w:shd w:val="clear" w:color="auto" w:fill="77C47C"/>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47.70 </w:t>
            </w:r>
          </w:p>
        </w:tc>
        <w:tc>
          <w:tcPr>
            <w:tcW w:w="1140" w:type="dxa"/>
            <w:tcBorders>
              <w:top w:val="single" w:color="000000" w:sz="4" w:space="0"/>
              <w:left w:val="single" w:color="000000" w:sz="4" w:space="0"/>
              <w:bottom w:val="single" w:color="000000" w:sz="4" w:space="0"/>
              <w:right w:val="single" w:color="000000" w:sz="4" w:space="0"/>
            </w:tcBorders>
            <w:shd w:val="clear" w:color="auto" w:fill="F9766E"/>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57.60 </w:t>
            </w:r>
          </w:p>
        </w:tc>
        <w:tc>
          <w:tcPr>
            <w:tcW w:w="1140" w:type="dxa"/>
            <w:tcBorders>
              <w:top w:val="single" w:color="000000" w:sz="4" w:space="0"/>
              <w:left w:val="single" w:color="000000" w:sz="4" w:space="0"/>
              <w:bottom w:val="single" w:color="000000" w:sz="4" w:space="0"/>
              <w:right w:val="single" w:color="000000" w:sz="4" w:space="0"/>
            </w:tcBorders>
            <w:shd w:val="clear" w:color="auto" w:fill="D5DF8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48.50 </w:t>
            </w:r>
          </w:p>
        </w:tc>
        <w:tc>
          <w:tcPr>
            <w:tcW w:w="1140" w:type="dxa"/>
            <w:tcBorders>
              <w:top w:val="single" w:color="000000" w:sz="4" w:space="0"/>
              <w:left w:val="single" w:color="000000" w:sz="4" w:space="0"/>
              <w:bottom w:val="single" w:color="000000" w:sz="4" w:space="0"/>
              <w:right w:val="single" w:color="000000" w:sz="4" w:space="0"/>
            </w:tcBorders>
            <w:shd w:val="clear" w:color="auto" w:fill="F6E8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2025-6</w:t>
            </w:r>
          </w:p>
        </w:tc>
        <w:tc>
          <w:tcPr>
            <w:tcW w:w="1140" w:type="dxa"/>
            <w:tcBorders>
              <w:top w:val="single" w:color="000000" w:sz="4" w:space="0"/>
              <w:left w:val="single" w:color="000000" w:sz="4" w:space="0"/>
              <w:bottom w:val="single" w:color="000000" w:sz="4" w:space="0"/>
              <w:right w:val="single" w:color="000000" w:sz="4" w:space="0"/>
            </w:tcBorders>
            <w:shd w:val="clear" w:color="auto" w:fill="FB937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50.30 </w:t>
            </w:r>
          </w:p>
        </w:tc>
        <w:tc>
          <w:tcPr>
            <w:tcW w:w="1140" w:type="dxa"/>
            <w:tcBorders>
              <w:top w:val="single" w:color="000000" w:sz="4" w:space="0"/>
              <w:left w:val="single" w:color="000000" w:sz="4" w:space="0"/>
              <w:bottom w:val="single" w:color="000000" w:sz="4" w:space="0"/>
              <w:right w:val="single" w:color="000000" w:sz="4" w:space="0"/>
            </w:tcBorders>
            <w:shd w:val="clear" w:color="auto" w:fill="FFE5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49.70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50.10 </w:t>
            </w:r>
          </w:p>
        </w:tc>
        <w:tc>
          <w:tcPr>
            <w:tcW w:w="1140" w:type="dxa"/>
            <w:tcBorders>
              <w:top w:val="single" w:color="000000" w:sz="4" w:space="0"/>
              <w:left w:val="single" w:color="000000" w:sz="4" w:space="0"/>
              <w:bottom w:val="single" w:color="000000" w:sz="4" w:space="0"/>
              <w:right w:val="single" w:color="000000" w:sz="4" w:space="0"/>
            </w:tcBorders>
            <w:shd w:val="clear" w:color="auto" w:fill="DFE2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48.70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58.40 </w:t>
            </w:r>
          </w:p>
        </w:tc>
        <w:tc>
          <w:tcPr>
            <w:tcW w:w="1140" w:type="dxa"/>
            <w:tcBorders>
              <w:top w:val="single" w:color="000000" w:sz="4" w:space="0"/>
              <w:left w:val="single" w:color="000000" w:sz="4" w:space="0"/>
              <w:bottom w:val="single" w:color="000000" w:sz="4" w:space="0"/>
              <w:right w:val="single" w:color="000000" w:sz="4" w:space="0"/>
            </w:tcBorders>
            <w:shd w:val="clear" w:color="auto" w:fill="E6E3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49.00 </w:t>
            </w:r>
          </w:p>
        </w:tc>
        <w:tc>
          <w:tcPr>
            <w:tcW w:w="1140" w:type="dxa"/>
            <w:tcBorders>
              <w:top w:val="single" w:color="000000" w:sz="4" w:space="0"/>
              <w:left w:val="single" w:color="000000" w:sz="4" w:space="0"/>
              <w:bottom w:val="single" w:color="000000" w:sz="4" w:space="0"/>
              <w:right w:val="single" w:color="000000" w:sz="4" w:space="0"/>
            </w:tcBorders>
            <w:shd w:val="clear" w:color="auto" w:fill="FFE0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2025-7</w:t>
            </w:r>
          </w:p>
        </w:tc>
        <w:tc>
          <w:tcPr>
            <w:tcW w:w="1140" w:type="dxa"/>
            <w:tcBorders>
              <w:top w:val="single" w:color="000000" w:sz="4" w:space="0"/>
              <w:left w:val="single" w:color="000000" w:sz="4" w:space="0"/>
              <w:bottom w:val="single" w:color="000000" w:sz="4" w:space="0"/>
              <w:right w:val="single" w:color="000000" w:sz="4" w:space="0"/>
            </w:tcBorders>
            <w:shd w:val="clear" w:color="auto" w:fill="FFE583"/>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49.70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49.30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49.90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48.00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59.20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48.00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2025-8</w:t>
            </w:r>
          </w:p>
        </w:tc>
        <w:tc>
          <w:tcPr>
            <w:tcW w:w="1140" w:type="dxa"/>
            <w:tcBorders>
              <w:top w:val="single" w:color="000000" w:sz="4" w:space="0"/>
              <w:left w:val="single" w:color="000000" w:sz="4" w:space="0"/>
              <w:bottom w:val="single" w:color="000000" w:sz="4" w:space="0"/>
              <w:right w:val="single" w:color="000000" w:sz="4" w:space="0"/>
            </w:tcBorders>
            <w:shd w:val="clear" w:color="auto" w:fill="FFDE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50.90 </w:t>
            </w:r>
          </w:p>
        </w:tc>
        <w:tc>
          <w:tcPr>
            <w:tcW w:w="1140" w:type="dxa"/>
            <w:tcBorders>
              <w:top w:val="single" w:color="000000" w:sz="4" w:space="0"/>
              <w:left w:val="single" w:color="000000" w:sz="4" w:space="0"/>
              <w:bottom w:val="single" w:color="000000" w:sz="4" w:space="0"/>
              <w:right w:val="single" w:color="000000" w:sz="4" w:space="0"/>
            </w:tcBorders>
            <w:shd w:val="clear" w:color="auto" w:fill="D5DF81"/>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49.40 </w:t>
            </w:r>
          </w:p>
        </w:tc>
        <w:tc>
          <w:tcPr>
            <w:tcW w:w="1140" w:type="dxa"/>
            <w:tcBorders>
              <w:top w:val="single" w:color="000000" w:sz="4" w:space="0"/>
              <w:left w:val="single" w:color="000000" w:sz="4" w:space="0"/>
              <w:bottom w:val="single" w:color="000000" w:sz="4" w:space="0"/>
              <w:right w:val="single" w:color="000000" w:sz="4" w:space="0"/>
            </w:tcBorders>
            <w:shd w:val="clear" w:color="auto" w:fill="FFEB84"/>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49.90 </w:t>
            </w:r>
          </w:p>
        </w:tc>
        <w:tc>
          <w:tcPr>
            <w:tcW w:w="1140" w:type="dxa"/>
            <w:tcBorders>
              <w:top w:val="single" w:color="000000" w:sz="4" w:space="0"/>
              <w:left w:val="single" w:color="000000" w:sz="4" w:space="0"/>
              <w:bottom w:val="single" w:color="000000" w:sz="4" w:space="0"/>
              <w:right w:val="single" w:color="000000" w:sz="4" w:space="0"/>
            </w:tcBorders>
            <w:shd w:val="clear" w:color="auto" w:fill="63BE7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48.00 </w:t>
            </w:r>
          </w:p>
        </w:tc>
        <w:tc>
          <w:tcPr>
            <w:tcW w:w="1140" w:type="dxa"/>
            <w:tcBorders>
              <w:top w:val="single" w:color="000000" w:sz="4" w:space="0"/>
              <w:left w:val="single" w:color="000000" w:sz="4" w:space="0"/>
              <w:bottom w:val="single" w:color="000000" w:sz="4" w:space="0"/>
              <w:right w:val="single" w:color="000000" w:sz="4" w:space="0"/>
            </w:tcBorders>
            <w:shd w:val="clear" w:color="auto" w:fill="F8696B"/>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59.30 </w:t>
            </w:r>
          </w:p>
        </w:tc>
        <w:tc>
          <w:tcPr>
            <w:tcW w:w="1140" w:type="dxa"/>
            <w:tcBorders>
              <w:top w:val="single" w:color="000000" w:sz="4" w:space="0"/>
              <w:left w:val="single" w:color="000000" w:sz="4" w:space="0"/>
              <w:bottom w:val="single" w:color="000000" w:sz="4" w:space="0"/>
              <w:right w:val="single" w:color="000000" w:sz="4" w:space="0"/>
            </w:tcBorders>
            <w:shd w:val="clear" w:color="auto" w:fill="9CCE7E"/>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48.70 </w:t>
            </w:r>
          </w:p>
        </w:tc>
        <w:tc>
          <w:tcPr>
            <w:tcW w:w="1140" w:type="dxa"/>
            <w:tcBorders>
              <w:top w:val="single" w:color="000000" w:sz="4" w:space="0"/>
              <w:left w:val="single" w:color="000000" w:sz="4" w:space="0"/>
              <w:bottom w:val="single" w:color="000000" w:sz="4" w:space="0"/>
              <w:right w:val="single" w:color="000000" w:sz="4" w:space="0"/>
            </w:tcBorders>
            <w:shd w:val="clear" w:color="auto" w:fill="FFE082"/>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50.70 </w:t>
            </w:r>
          </w:p>
        </w:tc>
      </w:tr>
    </w:tbl>
    <w:p>
      <w:pPr>
        <w:spacing w:before="1"/>
        <w:ind w:right="387" w:firstLine="7200" w:firstLineChars="4500"/>
        <w:jc w:val="both"/>
        <w:rPr>
          <w:rFonts w:hint="eastAsia" w:ascii="微软雅黑" w:hAnsi="微软雅黑" w:eastAsia="微软雅黑" w:cs="微软雅黑"/>
          <w:sz w:val="16"/>
        </w:rPr>
      </w:pPr>
      <w:r>
        <w:rPr>
          <w:rFonts w:hint="eastAsia" w:ascii="微软雅黑" w:hAnsi="微软雅黑" w:eastAsia="微软雅黑" w:cs="微软雅黑"/>
          <w:sz w:val="16"/>
        </w:rPr>
        <w:t>数据来源：Wind</w:t>
      </w:r>
    </w:p>
    <w:p>
      <w:pPr>
        <w:spacing w:before="1"/>
        <w:ind w:right="387" w:firstLine="7200" w:firstLineChars="4500"/>
        <w:jc w:val="both"/>
        <w:rPr>
          <w:rFonts w:hint="eastAsia" w:ascii="微软雅黑" w:hAnsi="微软雅黑" w:eastAsia="微软雅黑" w:cs="微软雅黑"/>
          <w:sz w:val="16"/>
        </w:rPr>
      </w:pPr>
    </w:p>
    <w:p>
      <w:pPr>
        <w:spacing w:before="1"/>
        <w:ind w:right="387" w:firstLine="7200" w:firstLineChars="4500"/>
        <w:jc w:val="both"/>
        <w:rPr>
          <w:rFonts w:hint="eastAsia" w:ascii="微软雅黑" w:hAnsi="微软雅黑" w:eastAsia="微软雅黑" w:cs="微软雅黑"/>
          <w:sz w:val="16"/>
        </w:rPr>
        <w:sectPr>
          <w:headerReference r:id="rId4" w:type="default"/>
          <w:pgSz w:w="11910" w:h="16840"/>
          <w:pgMar w:top="1160" w:right="1200" w:bottom="2300" w:left="1280" w:header="581" w:footer="2112" w:gutter="0"/>
          <w:cols w:space="720" w:num="1"/>
        </w:sectPr>
      </w:pP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left"/>
        <w:textAlignment w:val="auto"/>
        <w:rPr>
          <w:rFonts w:hint="eastAsia" w:ascii="微软雅黑" w:hAnsi="微软雅黑" w:eastAsia="微软雅黑" w:cs="微软雅黑"/>
          <w:b/>
          <w:bCs/>
          <w:sz w:val="22"/>
          <w:szCs w:val="22"/>
          <w:lang w:val="en-US" w:eastAsia="zh-CN"/>
        </w:rPr>
      </w:pPr>
      <w:bookmarkStart w:id="7" w:name="_bookmark3"/>
      <w:bookmarkEnd w:id="7"/>
      <w:r>
        <w:rPr>
          <w:rFonts w:hint="eastAsia" w:ascii="微软雅黑" w:hAnsi="微软雅黑" w:eastAsia="微软雅黑" w:cs="微软雅黑"/>
          <w:b/>
          <w:bCs/>
          <w:sz w:val="22"/>
          <w:szCs w:val="22"/>
          <w:lang w:val="en-US" w:eastAsia="zh-CN"/>
        </w:rPr>
        <w:t>7月全球半导体销售额同比增长20.6%，亚太和美洲市场表现强劲</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eastAsia="微软雅黑" w:cs="微软雅黑"/>
          <w:sz w:val="22"/>
          <w:szCs w:val="28"/>
        </w:rPr>
      </w:pPr>
      <w:r>
        <w:rPr>
          <w:rFonts w:hint="eastAsia" w:ascii="微软雅黑" w:hAnsi="微软雅黑" w:eastAsia="微软雅黑" w:cs="微软雅黑"/>
          <w:sz w:val="22"/>
          <w:szCs w:val="28"/>
        </w:rPr>
        <w:t>2025年7月，全球半导体销售额达到了621亿美元，同比增长20.6%，环比增长3.6%。这一增长主要得益于亚太地区和美洲市场的强劲表现。亚太及其他地区的销售额同比增长35.6%，美洲市场增长29.3%，而中国市场增长10.4%，显示出全球半导体市场的强劲增长势头。然而，日本市场出现了6.3%的同比下降，显示出该地区在全球半导体市场中的相对疲软。</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eastAsia="微软雅黑" w:cs="微软雅黑"/>
          <w:sz w:val="22"/>
          <w:szCs w:val="28"/>
        </w:rPr>
      </w:pPr>
      <w:r>
        <w:rPr>
          <w:rFonts w:hint="eastAsia" w:ascii="微软雅黑" w:hAnsi="微软雅黑" w:eastAsia="微软雅黑" w:cs="微软雅黑"/>
          <w:sz w:val="22"/>
          <w:szCs w:val="28"/>
        </w:rPr>
        <w:t>环比数据也显示出积极的趋势，亚太及其他地区的销售额环比增长4.9%，美洲市场增长8.6%，而中国市场下降1.3%，日本市场下降0.2%。这些数据表明，尽管全球市场存在区域差异，但整体上半导体市场呈现出持续增长的态势。</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eastAsia="微软雅黑" w:cs="微软雅黑"/>
          <w:sz w:val="22"/>
          <w:szCs w:val="28"/>
        </w:rPr>
      </w:pPr>
      <w:r>
        <w:rPr>
          <w:rFonts w:hint="eastAsia" w:ascii="微软雅黑" w:hAnsi="微软雅黑" w:eastAsia="微软雅黑" w:cs="微软雅黑"/>
          <w:sz w:val="22"/>
          <w:szCs w:val="28"/>
        </w:rPr>
        <w:t>需要注意的是，尽管全球销售额增长显著，但日本市场的表现相对疲软，可能受到国内需求疲软和国际贸易不确定性的影响。未来，全球半导体市场的增长可能会受到地缘政治和贸易政策变化的影响，尤其是在美国和中国之间的贸易摩擦持续的背景下。</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cs="微软雅黑"/>
          <w:sz w:val="22"/>
          <w:szCs w:val="28"/>
          <w:lang w:eastAsia="zh-CN"/>
        </w:rPr>
      </w:pPr>
      <w:r>
        <w:rPr>
          <w:rFonts w:hint="eastAsia" w:ascii="微软雅黑" w:hAnsi="微软雅黑" w:eastAsia="微软雅黑" w:cs="微软雅黑"/>
          <w:sz w:val="22"/>
          <w:szCs w:val="28"/>
        </w:rPr>
        <w:t>总体而言，2025年7月的销售数据反映出全球半导体市场的强劲增长，尤其是在亚太和美洲地区。随着人工智能、数据中心和高性能计算等领域的需求持续增长，预计全球半导体市场将在下半年继续保持增长势头</w:t>
      </w:r>
      <w:r>
        <w:rPr>
          <w:rFonts w:hint="eastAsia" w:ascii="微软雅黑" w:hAnsi="微软雅黑" w:cs="微软雅黑"/>
          <w:sz w:val="22"/>
          <w:szCs w:val="28"/>
          <w:lang w:eastAsia="zh-CN"/>
        </w:rPr>
        <w:t>。</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cs="微软雅黑"/>
          <w:sz w:val="22"/>
          <w:szCs w:val="28"/>
          <w:lang w:eastAsia="zh-CN"/>
        </w:rPr>
      </w:pPr>
    </w:p>
    <w:p>
      <w:pPr>
        <w:pBdr>
          <w:bottom w:val="single" w:color="auto" w:sz="4" w:space="0"/>
        </w:pBdr>
        <w:tabs>
          <w:tab w:val="right" w:pos="9072"/>
        </w:tabs>
        <w:spacing w:line="400" w:lineRule="exact"/>
        <w:ind w:firstLine="220"/>
        <w:rPr>
          <w:rFonts w:hint="eastAsia" w:ascii="微软雅黑" w:hAnsi="微软雅黑" w:eastAsia="微软雅黑" w:cs="微软雅黑"/>
          <w:b/>
          <w:bCs/>
          <w:color w:val="73308A"/>
          <w:sz w:val="16"/>
          <w:szCs w:val="16"/>
        </w:rPr>
      </w:pPr>
      <w:r>
        <w:rPr>
          <w:rFonts w:hint="eastAsia" w:ascii="微软雅黑" w:hAnsi="微软雅黑" w:eastAsia="微软雅黑" w:cs="微软雅黑"/>
          <w:b/>
          <w:bCs/>
          <w:color w:val="73308A"/>
          <w:sz w:val="22"/>
          <w:szCs w:val="28"/>
          <w:highlight w:val="none"/>
        </w:rPr>
        <w:t>全球半导体销售额（十亿美元）</w:t>
      </w:r>
      <w:r>
        <w:rPr>
          <w:rFonts w:hint="eastAsia" w:ascii="微软雅黑" w:hAnsi="微软雅黑" w:eastAsia="微软雅黑" w:cs="微软雅黑"/>
          <w:b/>
          <w:bCs/>
          <w:color w:val="73308A"/>
          <w:sz w:val="22"/>
          <w:szCs w:val="28"/>
        </w:rPr>
        <w:tab/>
      </w:r>
    </w:p>
    <w:p>
      <w:pPr>
        <w:tabs>
          <w:tab w:val="right" w:pos="9072"/>
        </w:tabs>
        <w:ind w:firstLine="160"/>
        <w:rPr>
          <w:rFonts w:hint="eastAsia" w:ascii="微软雅黑" w:hAnsi="微软雅黑" w:eastAsia="微软雅黑" w:cs="微软雅黑"/>
          <w:sz w:val="16"/>
          <w:szCs w:val="16"/>
        </w:rPr>
      </w:pPr>
    </w:p>
    <w:p>
      <w:pPr>
        <w:tabs>
          <w:tab w:val="right" w:pos="9072"/>
        </w:tabs>
        <w:ind w:firstLine="210"/>
        <w:rPr>
          <w:rFonts w:hint="eastAsia" w:ascii="微软雅黑" w:hAnsi="微软雅黑" w:eastAsia="微软雅黑" w:cs="微软雅黑"/>
        </w:rPr>
      </w:pPr>
      <w:r>
        <w:drawing>
          <wp:inline distT="0" distB="0" distL="114300" distR="114300">
            <wp:extent cx="5636895" cy="3173730"/>
            <wp:effectExtent l="0" t="0" r="1905" b="1270"/>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12"/>
        <w:ind w:left="-440" w:leftChars="-200" w:firstLine="0" w:firstLineChars="0"/>
        <w:jc w:val="right"/>
        <w:rPr>
          <w:rFonts w:hint="eastAsia" w:ascii="微软雅黑" w:hAnsi="微软雅黑" w:eastAsia="微软雅黑" w:cs="微软雅黑"/>
          <w:b/>
          <w:bCs/>
        </w:rPr>
      </w:pPr>
      <w:r>
        <w:rPr>
          <w:rFonts w:hint="eastAsia" w:ascii="微软雅黑" w:hAnsi="微软雅黑" w:eastAsia="微软雅黑" w:cs="微软雅黑"/>
          <w:sz w:val="16"/>
          <w:szCs w:val="16"/>
        </w:rPr>
        <w:t>数据来源：SIA</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left"/>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美国十年期国债收益率：9月中旬突破4.10%，曲线形态提示政策预期分歧</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eastAsia="微软雅黑" w:cs="微软雅黑"/>
          <w:sz w:val="22"/>
          <w:szCs w:val="28"/>
          <w:highlight w:val="none"/>
        </w:rPr>
      </w:pPr>
      <w:r>
        <w:rPr>
          <w:rFonts w:hint="eastAsia" w:ascii="微软雅黑" w:hAnsi="微软雅黑" w:eastAsia="微软雅黑" w:cs="微软雅黑"/>
          <w:sz w:val="22"/>
          <w:szCs w:val="28"/>
          <w:highlight w:val="none"/>
        </w:rPr>
        <w:t xml:space="preserve">截至2025年9月下旬，美国10年期国债收益率持续在4.10%至4.15%区间波动，反映出市场对经济前景的谨慎态度。9月24日，10年期国债收益率小幅上升至4.1447%，较前一交易日上涨3.85个基点。同日，2年期国债收益率也上涨1.40个基点，收于3.6000% </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eastAsia="微软雅黑" w:cs="微软雅黑"/>
          <w:sz w:val="22"/>
          <w:szCs w:val="28"/>
          <w:highlight w:val="none"/>
        </w:rPr>
      </w:pPr>
      <w:r>
        <w:rPr>
          <w:rFonts w:hint="eastAsia" w:ascii="微软雅黑" w:hAnsi="微软雅黑" w:eastAsia="微软雅黑" w:cs="微软雅黑"/>
          <w:sz w:val="22"/>
          <w:szCs w:val="28"/>
          <w:highlight w:val="none"/>
        </w:rPr>
        <w:t>近期美国经济数据表现不一，影响了市场对未来货币政策的预期。8月新屋销售年化80万户，环比增长20.5%，远超预期，显示房地产市场复苏势头强劲。然而，8月非农就业数据仅新增2.2万个岗位，失业率上升至4.3%，显示劳动市场仍显疲软。此外，8月消费者物价指数（CPI）和生产者物价指数（PPI）均显示通胀压力有所上升，进一步加剧了市场对美联储货币政策路径的不确定性。</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eastAsia="微软雅黑" w:cs="微软雅黑"/>
          <w:sz w:val="22"/>
          <w:szCs w:val="28"/>
          <w:highlight w:val="none"/>
        </w:rPr>
      </w:pPr>
      <w:r>
        <w:rPr>
          <w:rFonts w:hint="eastAsia" w:ascii="微软雅黑" w:hAnsi="微软雅黑" w:eastAsia="微软雅黑" w:cs="微软雅黑"/>
          <w:sz w:val="22"/>
          <w:szCs w:val="28"/>
          <w:highlight w:val="none"/>
        </w:rPr>
        <w:t>美联储在9月17日将联邦基金利率下调25个基点至4.00%-4.25%，并暗示未来可能继续降息，以应对经济放缓和通胀压力。然而，房地产市场的强劲表现可能使美联储在进一步降息时更加谨慎。投资者目前关注即将公布的个人消费支出（PCE）物价指数数据，以评估通胀趋势和美联储未来政策走向。</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textAlignment w:val="auto"/>
        <w:rPr>
          <w:rFonts w:hint="eastAsia" w:ascii="微软雅黑" w:hAnsi="微软雅黑" w:eastAsia="微软雅黑" w:cs="微软雅黑"/>
          <w:sz w:val="22"/>
          <w:szCs w:val="28"/>
          <w:highlight w:val="none"/>
        </w:rPr>
      </w:pPr>
      <w:r>
        <w:rPr>
          <w:rFonts w:hint="eastAsia" w:ascii="微软雅黑" w:hAnsi="微软雅黑" w:eastAsia="微软雅黑" w:cs="微软雅黑"/>
          <w:sz w:val="22"/>
          <w:szCs w:val="28"/>
          <w:highlight w:val="none"/>
        </w:rPr>
        <w:t>总体而言，美国10年期国债收益率在9月保持在高位震荡，反映出市场对经济增长放缓和通胀压力的担忧。投资者需密切关注即将公布的经济数据，以判断美联储未来货币政策的方向。</w:t>
      </w:r>
    </w:p>
    <w:p>
      <w:pPr>
        <w:keepNext w:val="0"/>
        <w:keepLines w:val="0"/>
        <w:pageBreakBefore w:val="0"/>
        <w:widowControl w:val="0"/>
        <w:kinsoku/>
        <w:wordWrap/>
        <w:overflowPunct/>
        <w:topLinePunct w:val="0"/>
        <w:autoSpaceDE/>
        <w:autoSpaceDN/>
        <w:bidi w:val="0"/>
        <w:adjustRightInd/>
        <w:snapToGrid/>
        <w:spacing w:before="0" w:beforeLines="50" w:line="440" w:lineRule="exact"/>
        <w:textAlignment w:val="auto"/>
        <w:rPr>
          <w:rFonts w:hint="eastAsia" w:ascii="微软雅黑" w:hAnsi="微软雅黑" w:eastAsia="微软雅黑" w:cs="微软雅黑"/>
          <w:sz w:val="22"/>
          <w:szCs w:val="28"/>
        </w:rPr>
      </w:pPr>
    </w:p>
    <w:p>
      <w:pPr>
        <w:spacing w:before="12"/>
        <w:ind w:left="575" w:right="0" w:firstLine="0"/>
        <w:jc w:val="left"/>
        <w:rPr>
          <w:rFonts w:hint="eastAsia" w:ascii="微软雅黑" w:hAnsi="微软雅黑" w:eastAsia="微软雅黑" w:cs="微软雅黑"/>
          <w:b/>
          <w:sz w:val="22"/>
          <w:highlight w:val="none"/>
        </w:rPr>
      </w:pPr>
      <w:r>
        <w:rPr>
          <w:rFonts w:hint="eastAsia" w:ascii="微软雅黑" w:hAnsi="微软雅黑" w:eastAsia="微软雅黑" w:cs="微软雅黑"/>
          <w:highlight w:val="none"/>
        </w:rPr>
        <mc:AlternateContent>
          <mc:Choice Requires="wps">
            <w:drawing>
              <wp:anchor distT="0" distB="0" distL="114300" distR="114300" simplePos="0" relativeHeight="251666432" behindDoc="0" locked="0" layoutInCell="1" allowOverlap="1">
                <wp:simplePos x="0" y="0"/>
                <wp:positionH relativeFrom="page">
                  <wp:posOffset>880745</wp:posOffset>
                </wp:positionH>
                <wp:positionV relativeFrom="paragraph">
                  <wp:posOffset>241935</wp:posOffset>
                </wp:positionV>
                <wp:extent cx="5798185" cy="5715"/>
                <wp:effectExtent l="0" t="0" r="0" b="0"/>
                <wp:wrapNone/>
                <wp:docPr id="8" name="矩形 8"/>
                <wp:cNvGraphicFramePr/>
                <a:graphic xmlns:a="http://schemas.openxmlformats.org/drawingml/2006/main">
                  <a:graphicData uri="http://schemas.microsoft.com/office/word/2010/wordprocessingShape">
                    <wps:wsp>
                      <wps:cNvSpPr/>
                      <wps:spPr>
                        <a:xfrm>
                          <a:off x="0" y="0"/>
                          <a:ext cx="5798185" cy="571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69.35pt;margin-top:19.05pt;height:0.45pt;width:456.55pt;mso-position-horizontal-relative:page;z-index:251666432;mso-width-relative:page;mso-height-relative:page;" fillcolor="#000000" filled="t" stroked="f" coordsize="21600,21600" o:gfxdata="UEsDBAoAAAAAAIdO4kAAAAAAAAAAAAAAAAAEAAAAZHJzL1BLAwQUAAAACACHTuJAiXyoZNgAAAAK&#10;AQAADwAAAGRycy9kb3ducmV2LnhtbE2PzU7DMBCE70i8g7VI3KidlkIa4lQqEkckWjjQmxMvSdR4&#10;HWz3B56e7akcZ/bT7Ey5PLlBHDDE3pOGbKJAIDXe9tRq+Hh/uctBxGTImsETavjBCMvq+qo0hfVH&#10;WuNhk1rBIRQLo6FLaSykjE2HzsSJH5H49uWDM4llaKUN5sjhbpBTpR6kMz3xh86M+Nxhs9vsnYbV&#10;Il99v93T6++63uL2s97Np0FpfXuTqScQCU/pAsO5PleHijvVfk82ioH1LH9kVMMsz0CcATXPeEzN&#10;zkKBrEr5f0L1B1BLAwQUAAAACACHTuJAqCQWgK0BAABdAwAADgAAAGRycy9lMm9Eb2MueG1srVNL&#10;btswEN0X6B0I7mtZAdy4guUsYqSbog2Q9gA0RUoE+MMMbdmnKdBdD9HjFL1Gh5TqtOkmi2hBzY9v&#10;5r2RNjcnZ9lRAZrgW14vlpwpL0NnfN/yL5/v3qw5wyR8J2zwquVnhfxm+/rVZoyNugpDsJ0CRiAe&#10;mzG2fEgpNlWFclBO4CJE5SmpAziRyIW+6kCMhO5sdbVcvq3GAF2EIBUiRXdTks+I8BzAoLWRahfk&#10;wSmfJlRQViSihIOJyLdlWq2VTJ+0RpWYbTkxTeWkJmTv81ltN6LpQcTByHkE8ZwRnnBywnhqeoHa&#10;iSTYAcx/UM5ICBh0WsjgqolIUYRY1Msn2jwMIqrChaTGeBEdXw5WfjzeAzNdy2ntXjha+K+v33/+&#10;+MbWWZsxYkMlD/EeZg/JzERPGlx+EwV2KnqeL3qqU2KSgqvrd+t6veJMUm51Xa8yZPV4NwKm9yo4&#10;lo2WA22riCiOHzBNpX9KcisM1nR3xtriQL+/tcCOIm+2PDP6P2XW52If8rUJMUeqzGtikq196M6k&#10;wiGC6QcapC5IOUOql4nnLySv9W+/ID3+Fd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iXyoZNgA&#10;AAAKAQAADwAAAAAAAAABACAAAAAiAAAAZHJzL2Rvd25yZXYueG1sUEsBAhQAFAAAAAgAh07iQKgk&#10;FoCtAQAAXQMAAA4AAAAAAAAAAQAgAAAAJwEAAGRycy9lMm9Eb2MueG1sUEsFBgAAAAAGAAYAWQEA&#10;AEYFAAAAAA==&#10;">
                <v:fill on="t" focussize="0,0"/>
                <v:stroke on="f"/>
                <v:imagedata o:title=""/>
                <o:lock v:ext="edit" aspectratio="f"/>
              </v:rect>
            </w:pict>
          </mc:Fallback>
        </mc:AlternateContent>
      </w:r>
      <w:r>
        <w:rPr>
          <w:rFonts w:hint="eastAsia" w:ascii="微软雅黑" w:hAnsi="微软雅黑" w:eastAsia="微软雅黑" w:cs="微软雅黑"/>
          <w:b/>
          <w:color w:val="732F89"/>
          <w:spacing w:val="-5"/>
          <w:sz w:val="22"/>
          <w:highlight w:val="none"/>
        </w:rPr>
        <w:t>美国</w:t>
      </w:r>
      <w:r>
        <w:rPr>
          <w:rFonts w:hint="eastAsia" w:ascii="微软雅黑" w:hAnsi="微软雅黑" w:eastAsia="微软雅黑" w:cs="微软雅黑"/>
          <w:b/>
          <w:color w:val="732F89"/>
          <w:sz w:val="22"/>
          <w:highlight w:val="none"/>
        </w:rPr>
        <w:t>10</w:t>
      </w:r>
      <w:r>
        <w:rPr>
          <w:rFonts w:hint="eastAsia" w:ascii="微软雅黑" w:hAnsi="微软雅黑" w:eastAsia="微软雅黑" w:cs="微软雅黑"/>
          <w:b/>
          <w:color w:val="732F89"/>
          <w:spacing w:val="-3"/>
          <w:sz w:val="22"/>
          <w:highlight w:val="none"/>
        </w:rPr>
        <w:t>年期国债利率(%)</w:t>
      </w:r>
    </w:p>
    <w:p>
      <w:pPr>
        <w:pStyle w:val="12"/>
        <w:spacing w:before="7"/>
        <w:rPr>
          <w:rFonts w:hint="eastAsia" w:ascii="微软雅黑" w:hAnsi="微软雅黑" w:eastAsia="微软雅黑" w:cs="微软雅黑"/>
          <w:b/>
          <w:sz w:val="11"/>
        </w:rPr>
      </w:pPr>
      <w:r>
        <w:drawing>
          <wp:inline distT="0" distB="0" distL="114300" distR="114300">
            <wp:extent cx="5570220" cy="3162935"/>
            <wp:effectExtent l="0" t="0" r="5080" b="12065"/>
            <wp:docPr id="1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spacing w:before="59"/>
        <w:ind w:left="0" w:right="692" w:firstLine="0"/>
        <w:jc w:val="right"/>
        <w:rPr>
          <w:rFonts w:hint="eastAsia" w:ascii="微软雅黑" w:hAnsi="微软雅黑" w:eastAsia="微软雅黑" w:cs="微软雅黑"/>
          <w:sz w:val="16"/>
        </w:rPr>
      </w:pPr>
      <w:r>
        <w:rPr>
          <w:rFonts w:hint="eastAsia" w:ascii="微软雅黑" w:hAnsi="微软雅黑" w:eastAsia="微软雅黑" w:cs="微软雅黑"/>
          <w:spacing w:val="-1"/>
          <w:sz w:val="16"/>
        </w:rPr>
        <w:t>数据来源</w:t>
      </w:r>
      <w:r>
        <w:rPr>
          <w:rFonts w:hint="eastAsia" w:ascii="微软雅黑" w:hAnsi="微软雅黑" w:eastAsia="微软雅黑" w:cs="微软雅黑"/>
          <w:sz w:val="16"/>
        </w:rPr>
        <w:t>：Investing</w:t>
      </w:r>
    </w:p>
    <w:p>
      <w:pPr>
        <w:spacing w:before="59"/>
        <w:ind w:left="0" w:right="692" w:firstLine="0"/>
        <w:jc w:val="right"/>
        <w:rPr>
          <w:rFonts w:hint="eastAsia" w:ascii="微软雅黑" w:hAnsi="微软雅黑" w:eastAsia="微软雅黑" w:cs="微软雅黑"/>
          <w:sz w:val="16"/>
        </w:rPr>
        <w:sectPr>
          <w:type w:val="continuous"/>
          <w:pgSz w:w="11910" w:h="16840"/>
          <w:pgMar w:top="1160" w:right="1200" w:bottom="2300" w:left="1280" w:header="581" w:footer="2112" w:gutter="0"/>
          <w:cols w:space="720" w:num="1"/>
        </w:sectPr>
      </w:pPr>
    </w:p>
    <w:p>
      <w:pPr>
        <w:spacing w:before="59"/>
        <w:ind w:left="0" w:right="692" w:firstLine="0"/>
        <w:jc w:val="left"/>
        <w:rPr>
          <w:rFonts w:hint="eastAsia" w:ascii="微软雅黑" w:hAnsi="微软雅黑" w:eastAsia="微软雅黑" w:cs="微软雅黑"/>
          <w:sz w:val="16"/>
        </w:rPr>
        <w:sectPr>
          <w:type w:val="continuous"/>
          <w:pgSz w:w="11910" w:h="16840"/>
          <w:pgMar w:top="1160" w:right="1200" w:bottom="2300" w:left="1280" w:header="581" w:footer="2112" w:gutter="0"/>
          <w:cols w:space="720" w:num="1"/>
        </w:sectPr>
      </w:pP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left"/>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费城半导体指数8-9月走势分析：降息与战略合作助推芯片股创新高</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jc w:val="left"/>
        <w:textAlignment w:val="auto"/>
        <w:rPr>
          <w:rFonts w:hint="eastAsia" w:ascii="微软雅黑" w:hAnsi="微软雅黑" w:eastAsia="微软雅黑" w:cs="微软雅黑"/>
          <w:sz w:val="22"/>
          <w:szCs w:val="28"/>
        </w:rPr>
      </w:pPr>
      <w:r>
        <w:rPr>
          <w:rFonts w:hint="eastAsia" w:ascii="微软雅黑" w:hAnsi="微软雅黑" w:eastAsia="微软雅黑" w:cs="微软雅黑"/>
          <w:sz w:val="22"/>
          <w:szCs w:val="28"/>
        </w:rPr>
        <w:t>2025年8-9月，费城半导体指数呈现强劲上涨态势，受益于美联储货币宽松政策与行业重大战略合作的双重利好。指数从8月中旬的5600点附近稳步攀升，至9月25日达6244.53点，期间累计涨幅近10%，显著跑赢大盘。</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jc w:val="left"/>
        <w:textAlignment w:val="auto"/>
        <w:rPr>
          <w:rFonts w:hint="eastAsia" w:ascii="微软雅黑" w:hAnsi="微软雅黑" w:eastAsia="微软雅黑" w:cs="微软雅黑"/>
          <w:sz w:val="22"/>
          <w:szCs w:val="28"/>
        </w:rPr>
      </w:pPr>
      <w:r>
        <w:rPr>
          <w:rFonts w:hint="eastAsia" w:ascii="微软雅黑" w:hAnsi="微软雅黑" w:eastAsia="微软雅黑" w:cs="微软雅黑"/>
          <w:sz w:val="22"/>
          <w:szCs w:val="28"/>
        </w:rPr>
        <w:t>9月中旬成为行情关键转折点。9月18日费城半导体指数单日大涨3.6%，创历史新高。这一突破主要受两大因素驱动：英伟达宣布向英特尔投资50亿美元达成深度合作，以及美联储实施2025年首次降息。英特尔股价当日暴涨22.77%，创1987年以来最大单日涨幅，阿斯麦、应用材料等设备商涨幅均超6%。</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jc w:val="left"/>
        <w:textAlignment w:val="auto"/>
        <w:rPr>
          <w:rFonts w:hint="eastAsia" w:ascii="微软雅黑" w:hAnsi="微软雅黑" w:eastAsia="微软雅黑" w:cs="微软雅黑"/>
          <w:sz w:val="22"/>
          <w:szCs w:val="28"/>
        </w:rPr>
      </w:pPr>
      <w:r>
        <w:rPr>
          <w:rFonts w:hint="eastAsia" w:ascii="微软雅黑" w:hAnsi="微软雅黑" w:eastAsia="微软雅黑" w:cs="微软雅黑"/>
          <w:sz w:val="22"/>
          <w:szCs w:val="28"/>
        </w:rPr>
        <w:t>政策环境与市场预期共同支撑涨势。美联储9月降息25个基点，标志着货币政策重心转向支持经济增长。花旗、高盛等机构预计10月和12月还将各降息25个基点，这一预期为科技股提供了持续流动性支撑。尽管9月下旬出现技术性调整，但半导体板块在AI浪潮和供应链合作深化背景下，仍保持强劲基本面支撑。</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jc w:val="left"/>
        <w:textAlignment w:val="auto"/>
        <w:rPr>
          <w:rFonts w:hint="eastAsia" w:ascii="微软雅黑" w:hAnsi="微软雅黑" w:eastAsia="微软雅黑" w:cs="微软雅黑"/>
          <w:sz w:val="22"/>
          <w:szCs w:val="28"/>
        </w:rPr>
      </w:pPr>
      <w:r>
        <w:rPr>
          <w:rFonts w:hint="eastAsia" w:ascii="微软雅黑" w:hAnsi="微软雅黑" w:eastAsia="微软雅黑" w:cs="微软雅黑"/>
          <w:sz w:val="22"/>
          <w:szCs w:val="28"/>
        </w:rPr>
        <w:t>总体而言，8-9月费城半导体指数的表现反映了全球半导体产业在技术创新与政策利好双重驱动下的繁荣态势，市场对行业长期增长前景保持乐观预期。</w:t>
      </w:r>
    </w:p>
    <w:p>
      <w:pPr>
        <w:keepNext w:val="0"/>
        <w:keepLines w:val="0"/>
        <w:pageBreakBefore w:val="0"/>
        <w:widowControl w:val="0"/>
        <w:kinsoku/>
        <w:wordWrap/>
        <w:overflowPunct/>
        <w:topLinePunct w:val="0"/>
        <w:autoSpaceDE/>
        <w:autoSpaceDN/>
        <w:bidi w:val="0"/>
        <w:adjustRightInd/>
        <w:snapToGrid/>
        <w:spacing w:before="0" w:beforeLines="50" w:line="440" w:lineRule="exact"/>
        <w:ind w:firstLine="440" w:firstLineChars="200"/>
        <w:jc w:val="left"/>
        <w:textAlignment w:val="auto"/>
        <w:rPr>
          <w:rFonts w:hint="eastAsia" w:ascii="微软雅黑" w:hAnsi="微软雅黑" w:eastAsia="微软雅黑" w:cs="微软雅黑"/>
          <w:sz w:val="22"/>
          <w:szCs w:val="28"/>
        </w:rPr>
      </w:pPr>
    </w:p>
    <w:p>
      <w:pPr>
        <w:spacing w:beforeLines="0" w:afterLines="0" w:line="351" w:lineRule="exact"/>
        <w:ind w:left="575"/>
        <w:rPr>
          <w:rFonts w:hint="eastAsia" w:ascii="微软雅黑" w:hAnsi="微软雅黑" w:eastAsia="微软雅黑" w:cs="微软雅黑"/>
          <w:b/>
          <w:sz w:val="22"/>
          <w:szCs w:val="24"/>
        </w:rPr>
      </w:pPr>
      <w:r>
        <w:rPr>
          <w:rFonts w:hint="eastAsia" w:ascii="微软雅黑" w:hAnsi="微软雅黑" w:eastAsia="微软雅黑" w:cs="微软雅黑"/>
          <w:sz w:val="22"/>
          <w:szCs w:val="24"/>
        </w:rPr>
        <mc:AlternateContent>
          <mc:Choice Requires="wps">
            <w:drawing>
              <wp:anchor distT="0" distB="0" distL="114300" distR="114300" simplePos="0" relativeHeight="251665408" behindDoc="0" locked="0" layoutInCell="1" allowOverlap="1">
                <wp:simplePos x="0" y="0"/>
                <wp:positionH relativeFrom="page">
                  <wp:posOffset>880745</wp:posOffset>
                </wp:positionH>
                <wp:positionV relativeFrom="paragraph">
                  <wp:posOffset>199390</wp:posOffset>
                </wp:positionV>
                <wp:extent cx="5798185" cy="5715"/>
                <wp:effectExtent l="0" t="0" r="0" b="0"/>
                <wp:wrapNone/>
                <wp:docPr id="102" name="矩形 38"/>
                <wp:cNvGraphicFramePr/>
                <a:graphic xmlns:a="http://schemas.openxmlformats.org/drawingml/2006/main">
                  <a:graphicData uri="http://schemas.microsoft.com/office/word/2010/wordprocessingShape">
                    <wps:wsp>
                      <wps:cNvSpPr/>
                      <wps:spPr>
                        <a:xfrm>
                          <a:off x="0" y="0"/>
                          <a:ext cx="5798185" cy="5715"/>
                        </a:xfrm>
                        <a:prstGeom prst="rect">
                          <a:avLst/>
                        </a:prstGeom>
                        <a:solidFill>
                          <a:srgbClr val="000000"/>
                        </a:solidFill>
                        <a:ln>
                          <a:noFill/>
                        </a:ln>
                      </wps:spPr>
                      <wps:bodyPr vert="horz" wrap="square" anchor="t" anchorCtr="0" upright="1"/>
                    </wps:wsp>
                  </a:graphicData>
                </a:graphic>
              </wp:anchor>
            </w:drawing>
          </mc:Choice>
          <mc:Fallback>
            <w:pict>
              <v:rect id="矩形 38" o:spid="_x0000_s1026" o:spt="1" style="position:absolute;left:0pt;margin-left:69.35pt;margin-top:15.7pt;height:0.45pt;width:456.55pt;mso-position-horizontal-relative:page;z-index:251665408;mso-width-relative:page;mso-height-relative:page;" fillcolor="#000000" filled="t" stroked="f" coordsize="21600,21600" o:gfxdata="UEsDBAoAAAAAAIdO4kAAAAAAAAAAAAAAAAAEAAAAZHJzL1BLAwQUAAAACACHTuJAjCfGIdgAAAAK&#10;AQAADwAAAGRycy9kb3ducmV2LnhtbE2PzU7DMBCE70i8g7VI3KidpIUQ4lQqEkckWjjQmxMvSdR4&#10;HWL3B56e7akcZ/bT7Ey5PLlBHHAKvScNyUyBQGq87anV8PH+cpeDCNGQNYMn1PCDAZbV9VVpCuuP&#10;tMbDJraCQygURkMX41hIGZoOnQkzPyLx7ctPzkSWUyvtZI4c7gaZKnUvnemJP3RmxOcOm91m7zSs&#10;HvPV99ucXn/X9Ra3n/VukU5K69ubRD2BiHiKFxjO9bk6VNyp9nuyQQyss/yBUQ1ZMgdxBtQi4TE1&#10;O2kGsirl/wnVH1BLAwQUAAAACACHTuJA29vO5dABAACTAwAADgAAAGRycy9lMm9Eb2MueG1srVNL&#10;btswEN0X6B0I7mtJLty4huUsYqSbog2Q5gA0RUkE+OsMbdm9TIHueogep+g1OqQUp0k2WVQLamY4&#10;fDPvcbi+PFrDDgpQe1fzalZyppz0jXZdze++XL9ZcoZRuEYY71TNTwr55eb1q/UQVmrue28aBYxA&#10;HK6GUPM+xrAqCpS9sgJnPihHm60HKyK50BUNiIHQrSnmZfmuGDw0AbxUiBTdjpt8QoSXAPq21VJt&#10;vdxb5eKICsqISJSw1wH5JnfbtkrGz22LKjJTc2Ia80pFyN6ltdisxaoDEXotpxbES1p4wskK7ajo&#10;GWoromB70M+grJbg0bdxJr0tRiJZEWJRlU+0ue1FUJkLSY3hLDr+P1j56XADTDc0CeWcMycsXfmf&#10;7z9///rB3i6TPEPAFWXdhhuYPCQzcT22YNOfWLBjlvR0llQdI5MUXFy8X1bLBWeS9hYX1SJBFg9n&#10;A2D8oLxlyag50IVlHcXhI8Yx9T4llUJvdHOtjckOdLsrA+wg0uXmb0J/lGZcSnY+HRsRU6RIvEYm&#10;ydr55kRC0LugLnoP3zgbaCpqjl/3AhRnwkkK1zzem1dxHKN9AN31dKrKxRMY3VUmOc1VGoZ//Vz8&#10;4S1t/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MJ8Yh2AAAAAoBAAAPAAAAAAAAAAEAIAAAACIA&#10;AABkcnMvZG93bnJldi54bWxQSwECFAAUAAAACACHTuJA29vO5dABAACTAwAADgAAAAAAAAABACAA&#10;AAAnAQAAZHJzL2Uyb0RvYy54bWxQSwUGAAAAAAYABgBZAQAAaQUAAAAA&#10;">
                <v:fill on="t" focussize="0,0"/>
                <v:stroke on="f"/>
                <v:imagedata o:title=""/>
                <o:lock v:ext="edit" aspectratio="f"/>
              </v:rect>
            </w:pict>
          </mc:Fallback>
        </mc:AlternateContent>
      </w:r>
      <w:r>
        <w:rPr>
          <w:rFonts w:hint="eastAsia" w:ascii="微软雅黑" w:hAnsi="微软雅黑" w:eastAsia="微软雅黑" w:cs="微软雅黑"/>
          <w:b/>
          <w:color w:val="732F89"/>
          <w:spacing w:val="4"/>
          <w:sz w:val="22"/>
          <w:szCs w:val="24"/>
        </w:rPr>
        <w:t>费城半导体指数</w:t>
      </w:r>
      <w:r>
        <w:rPr>
          <w:rFonts w:hint="eastAsia" w:ascii="微软雅黑" w:hAnsi="微软雅黑" w:eastAsia="微软雅黑" w:cs="微软雅黑"/>
          <w:b/>
          <w:color w:val="732F89"/>
          <w:sz w:val="22"/>
          <w:szCs w:val="24"/>
        </w:rPr>
        <w:t>(SOX)</w:t>
      </w:r>
    </w:p>
    <w:p>
      <w:pPr>
        <w:pStyle w:val="12"/>
        <w:spacing w:before="6" w:beforeLines="0" w:afterLines="0"/>
        <w:rPr>
          <w:rFonts w:hint="eastAsia" w:ascii="微软雅黑" w:hAnsi="微软雅黑" w:eastAsia="微软雅黑" w:cs="微软雅黑"/>
          <w:b/>
          <w:sz w:val="11"/>
          <w:szCs w:val="22"/>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微软雅黑" w:hAnsi="微软雅黑" w:eastAsia="微软雅黑" w:cs="微软雅黑"/>
          <w:sz w:val="16"/>
          <w:szCs w:val="20"/>
        </w:rPr>
      </w:pPr>
      <w:r>
        <w:drawing>
          <wp:inline distT="0" distB="0" distL="114300" distR="114300">
            <wp:extent cx="5981700" cy="3246755"/>
            <wp:effectExtent l="0" t="0" r="0" b="4445"/>
            <wp:docPr id="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微软雅黑" w:hAnsi="微软雅黑" w:eastAsia="微软雅黑" w:cs="微软雅黑"/>
        </w:rPr>
        <w:sectPr>
          <w:pgSz w:w="11910" w:h="16840"/>
          <w:pgMar w:top="1580" w:right="1200" w:bottom="280" w:left="1280" w:header="720" w:footer="720" w:gutter="0"/>
          <w:cols w:space="720" w:num="1"/>
        </w:sectPr>
      </w:pPr>
      <w:r>
        <w:rPr>
          <w:rFonts w:hint="eastAsia" w:ascii="微软雅黑" w:hAnsi="微软雅黑" w:eastAsia="微软雅黑" w:cs="微软雅黑"/>
          <w:sz w:val="16"/>
          <w:szCs w:val="20"/>
        </w:rPr>
        <w:t>数据来源：MacroMicro</w:t>
      </w:r>
    </w:p>
    <w:p>
      <w:pPr>
        <w:pStyle w:val="2"/>
        <w:numPr>
          <w:ilvl w:val="0"/>
          <w:numId w:val="0"/>
        </w:numPr>
        <w:bidi w:val="0"/>
        <w:ind w:leftChars="0"/>
        <w:rPr>
          <w:rFonts w:hint="eastAsia" w:ascii="微软雅黑" w:hAnsi="微软雅黑" w:eastAsia="微软雅黑" w:cs="微软雅黑"/>
          <w:lang w:val="en-US" w:eastAsia="zh-CN"/>
        </w:rPr>
      </w:pPr>
      <w:bookmarkStart w:id="8" w:name="_Toc10942"/>
      <w:r>
        <w:rPr>
          <w:rFonts w:hint="eastAsia"/>
          <w:lang w:val="en-US" w:eastAsia="zh-CN"/>
        </w:rPr>
        <w:t>二、</w:t>
      </w:r>
      <w:r>
        <w:rPr>
          <w:rFonts w:hint="eastAsia"/>
        </w:rPr>
        <w:t>半导体产业动态</w:t>
      </w:r>
      <w:bookmarkEnd w:id="8"/>
    </w:p>
    <w:tbl>
      <w:tblPr>
        <w:tblStyle w:val="19"/>
        <w:tblpPr w:leftFromText="180" w:rightFromText="180" w:vertAnchor="text" w:horzAnchor="page" w:tblpX="922" w:tblpY="6"/>
        <w:tblOverlap w:val="never"/>
        <w:tblW w:w="105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1868"/>
        <w:gridCol w:w="287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0503" w:type="dxa"/>
            <w:gridSpan w:val="4"/>
            <w:shd w:val="clear" w:color="auto" w:fill="73308A"/>
            <w:vAlign w:val="center"/>
          </w:tcPr>
          <w:p>
            <w:pPr>
              <w:spacing w:line="360" w:lineRule="exact"/>
              <w:jc w:val="center"/>
              <w:rPr>
                <w:rFonts w:hint="eastAsia" w:ascii="微软雅黑" w:hAnsi="微软雅黑" w:eastAsia="微软雅黑" w:cs="微软雅黑"/>
                <w:b/>
                <w:bCs/>
                <w:color w:val="FFFFFF" w:themeColor="background1"/>
                <w:sz w:val="32"/>
                <w:szCs w:val="32"/>
                <w:lang w:val="en-US" w:eastAsia="zh-CN"/>
                <w14:textFill>
                  <w14:solidFill>
                    <w14:schemeClr w14:val="bg1"/>
                  </w14:solidFill>
                </w14:textFill>
              </w:rPr>
            </w:pPr>
            <w:r>
              <w:rPr>
                <w:rFonts w:hint="eastAsia" w:ascii="微软雅黑" w:hAnsi="微软雅黑" w:eastAsia="微软雅黑" w:cs="微软雅黑"/>
                <w:b/>
                <w:bCs/>
                <w:color w:val="FFFFFF" w:themeColor="background1"/>
                <w:sz w:val="22"/>
                <w:szCs w:val="22"/>
                <w:lang w:val="en-US" w:eastAsia="zh-CN"/>
                <w14:textFill>
                  <w14:solidFill>
                    <w14:schemeClr w14:val="bg1"/>
                  </w14:solidFill>
                </w14:textFill>
              </w:rPr>
              <w:t>半导体产业动态概览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90" w:type="dxa"/>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维度</w:t>
            </w:r>
          </w:p>
        </w:tc>
        <w:tc>
          <w:tcPr>
            <w:tcW w:w="1868" w:type="dxa"/>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厂商</w:t>
            </w:r>
          </w:p>
        </w:tc>
        <w:tc>
          <w:tcPr>
            <w:tcW w:w="2870" w:type="dxa"/>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经营动态</w:t>
            </w:r>
          </w:p>
        </w:tc>
        <w:tc>
          <w:tcPr>
            <w:tcW w:w="4875" w:type="dxa"/>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解读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890" w:type="dxa"/>
            <w:vMerge w:val="restart"/>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短期</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影响</w:t>
            </w:r>
          </w:p>
        </w:tc>
        <w:tc>
          <w:tcPr>
            <w:tcW w:w="1868"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三星电子/美光</w:t>
            </w:r>
          </w:p>
          <w:p>
            <w:pPr>
              <w:spacing w:line="360" w:lineRule="exact"/>
              <w:jc w:val="center"/>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sz w:val="20"/>
                <w:szCs w:val="20"/>
                <w:lang w:val="en-US" w:eastAsia="zh-CN"/>
              </w:rPr>
              <w:t>Samsung/Micron</w:t>
            </w:r>
          </w:p>
        </w:tc>
        <w:tc>
          <w:tcPr>
            <w:tcW w:w="2870" w:type="dxa"/>
            <w:shd w:val="clear" w:color="auto" w:fill="auto"/>
            <w:vAlign w:val="center"/>
          </w:tcPr>
          <w:p>
            <w:pPr>
              <w:spacing w:line="360" w:lineRule="exact"/>
              <w:jc w:val="center"/>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sz w:val="20"/>
                <w:szCs w:val="20"/>
                <w:lang w:val="en-US" w:eastAsia="zh-CN"/>
              </w:rPr>
              <w:t>DRAM/NAND 合约价大幅上涨</w:t>
            </w:r>
          </w:p>
        </w:tc>
        <w:tc>
          <w:tcPr>
            <w:tcW w:w="4875" w:type="dxa"/>
            <w:shd w:val="clear" w:color="auto" w:fill="auto"/>
            <w:vAlign w:val="center"/>
          </w:tcPr>
          <w:p>
            <w:pPr>
              <w:spacing w:line="360" w:lineRule="exact"/>
              <w:jc w:val="center"/>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sz w:val="20"/>
                <w:szCs w:val="20"/>
                <w:lang w:val="en-US" w:eastAsia="zh-CN"/>
              </w:rPr>
              <w:t>移动 DRAM 与 NAND 价格大幅上调反映供需紧张，下游 OEM 客户成本将上升。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890" w:type="dxa"/>
            <w:vMerge w:val="continue"/>
            <w:vAlign w:val="center"/>
          </w:tcPr>
          <w:p>
            <w:pPr>
              <w:spacing w:line="360" w:lineRule="exact"/>
              <w:jc w:val="center"/>
              <w:rPr>
                <w:rFonts w:hint="eastAsia" w:ascii="微软雅黑" w:hAnsi="微软雅黑" w:eastAsia="微软雅黑" w:cs="微软雅黑"/>
                <w:sz w:val="20"/>
                <w:szCs w:val="20"/>
                <w:lang w:val="en-US" w:eastAsia="zh-CN"/>
              </w:rPr>
            </w:pPr>
          </w:p>
        </w:tc>
        <w:tc>
          <w:tcPr>
            <w:tcW w:w="1868"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英伟达/英特尔</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NVIDIA /Intel</w:t>
            </w:r>
          </w:p>
        </w:tc>
        <w:tc>
          <w:tcPr>
            <w:tcW w:w="2870"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股权合作与共建 AI / x86 平台</w:t>
            </w:r>
          </w:p>
        </w:tc>
        <w:tc>
          <w:tcPr>
            <w:tcW w:w="4875"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投资与合作增强市场对 Intel 转型与制造能力复兴的信心，也体现 NVIDIA 在系统平台战略上的延伸。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890" w:type="dxa"/>
            <w:vMerge w:val="continue"/>
            <w:vAlign w:val="center"/>
          </w:tcPr>
          <w:p>
            <w:pPr>
              <w:spacing w:line="360" w:lineRule="exact"/>
              <w:jc w:val="center"/>
              <w:rPr>
                <w:rFonts w:hint="eastAsia" w:ascii="微软雅黑" w:hAnsi="微软雅黑" w:eastAsia="微软雅黑" w:cs="微软雅黑"/>
                <w:sz w:val="20"/>
                <w:szCs w:val="20"/>
                <w:lang w:val="en-US" w:eastAsia="zh-CN"/>
              </w:rPr>
            </w:pPr>
          </w:p>
        </w:tc>
        <w:tc>
          <w:tcPr>
            <w:tcW w:w="1868"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美光科技</w:t>
            </w:r>
          </w:p>
          <w:p>
            <w:pPr>
              <w:spacing w:line="360" w:lineRule="exact"/>
              <w:jc w:val="center"/>
              <w:rPr>
                <w:rFonts w:hint="default"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Micron</w:t>
            </w:r>
          </w:p>
        </w:tc>
        <w:tc>
          <w:tcPr>
            <w:tcW w:w="2870"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美光发布2025财年第四财季财报并指引业绩增长</w:t>
            </w:r>
          </w:p>
        </w:tc>
        <w:tc>
          <w:tcPr>
            <w:tcW w:w="4875"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AI带动下内存需求旺盛，营收大增并上调指引，反映出存储芯片供需趋紧。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890" w:type="dxa"/>
            <w:vMerge w:val="continue"/>
            <w:vAlign w:val="center"/>
          </w:tcPr>
          <w:p>
            <w:pPr>
              <w:spacing w:line="360" w:lineRule="exact"/>
              <w:jc w:val="center"/>
              <w:rPr>
                <w:rFonts w:hint="eastAsia" w:ascii="微软雅黑" w:hAnsi="微软雅黑" w:eastAsia="微软雅黑" w:cs="微软雅黑"/>
                <w:sz w:val="20"/>
                <w:szCs w:val="20"/>
                <w:lang w:val="en-US" w:eastAsia="zh-CN"/>
              </w:rPr>
            </w:pPr>
          </w:p>
        </w:tc>
        <w:tc>
          <w:tcPr>
            <w:tcW w:w="1868"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亚德诺</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Analog Devices</w:t>
            </w:r>
          </w:p>
        </w:tc>
        <w:tc>
          <w:tcPr>
            <w:tcW w:w="2870"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亚德诺发布2025财年第三财季财报并超预期增长</w:t>
            </w:r>
          </w:p>
        </w:tc>
        <w:tc>
          <w:tcPr>
            <w:tcW w:w="4875"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收入达到28.8亿美元，同比增长双位数，各终端市场需求稳定，多元化布局稳健。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890" w:type="dxa"/>
            <w:vMerge w:val="continue"/>
            <w:vAlign w:val="center"/>
          </w:tcPr>
          <w:p>
            <w:pPr>
              <w:spacing w:line="360" w:lineRule="exact"/>
              <w:jc w:val="center"/>
              <w:rPr>
                <w:rFonts w:hint="eastAsia" w:ascii="微软雅黑" w:hAnsi="微软雅黑" w:eastAsia="微软雅黑" w:cs="微软雅黑"/>
                <w:sz w:val="20"/>
                <w:szCs w:val="20"/>
                <w:lang w:val="en-US" w:eastAsia="zh-CN"/>
              </w:rPr>
            </w:pPr>
          </w:p>
        </w:tc>
        <w:tc>
          <w:tcPr>
            <w:tcW w:w="1868"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SK海力士</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SK hynix</w:t>
            </w:r>
          </w:p>
        </w:tc>
        <w:tc>
          <w:tcPr>
            <w:tcW w:w="2870"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SK海力士就AI驱动的内存短缺与客户进行价格调整谈判</w:t>
            </w:r>
          </w:p>
        </w:tc>
        <w:tc>
          <w:tcPr>
            <w:tcW w:w="4875"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AI需求引发DRAM/NAND供给紧张，公司跟随同行推动价格上调以缓解供需矛盾。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890" w:type="dxa"/>
            <w:vMerge w:val="restart"/>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中期</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影响</w:t>
            </w:r>
          </w:p>
        </w:tc>
        <w:tc>
          <w:tcPr>
            <w:tcW w:w="1868"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博通</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Broadcom</w:t>
            </w:r>
          </w:p>
        </w:tc>
        <w:tc>
          <w:tcPr>
            <w:tcW w:w="2870"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博通获10亿美元AI芯片大订单</w:t>
            </w:r>
          </w:p>
        </w:tc>
        <w:tc>
          <w:tcPr>
            <w:tcW w:w="4875"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与新客户签订巨额定制AI芯片订单，彰显公司在AI加速器市场的新角色，推动业绩增长预期。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90" w:type="dxa"/>
            <w:vMerge w:val="continue"/>
            <w:vAlign w:val="center"/>
          </w:tcPr>
          <w:p>
            <w:pPr>
              <w:spacing w:line="360" w:lineRule="exact"/>
              <w:jc w:val="center"/>
              <w:rPr>
                <w:rFonts w:hint="eastAsia" w:ascii="微软雅黑" w:hAnsi="微软雅黑" w:eastAsia="微软雅黑" w:cs="微软雅黑"/>
                <w:sz w:val="20"/>
                <w:szCs w:val="20"/>
                <w:lang w:val="en-US" w:eastAsia="zh-CN"/>
              </w:rPr>
            </w:pPr>
          </w:p>
        </w:tc>
        <w:tc>
          <w:tcPr>
            <w:tcW w:w="1868"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微芯科技</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Microchip</w:t>
            </w:r>
          </w:p>
        </w:tc>
        <w:tc>
          <w:tcPr>
            <w:tcW w:w="2870"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Microchip与Deca/SST宣布NVM芯片小核合作</w:t>
            </w:r>
          </w:p>
        </w:tc>
        <w:tc>
          <w:tcPr>
            <w:tcW w:w="4875"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三方联手推出非易失性存储芯片小核方案，加速面向多芯片架构的内存解决方案发展。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890" w:type="dxa"/>
            <w:vMerge w:val="continue"/>
            <w:vAlign w:val="center"/>
          </w:tcPr>
          <w:p>
            <w:pPr>
              <w:spacing w:line="360" w:lineRule="exact"/>
              <w:jc w:val="center"/>
              <w:rPr>
                <w:rFonts w:hint="eastAsia" w:ascii="微软雅黑" w:hAnsi="微软雅黑" w:eastAsia="微软雅黑" w:cs="微软雅黑"/>
                <w:sz w:val="20"/>
                <w:szCs w:val="20"/>
                <w:lang w:val="en-US" w:eastAsia="zh-CN"/>
              </w:rPr>
            </w:pPr>
          </w:p>
        </w:tc>
        <w:tc>
          <w:tcPr>
            <w:tcW w:w="1868" w:type="dxa"/>
            <w:shd w:val="clear" w:color="auto" w:fill="auto"/>
            <w:vAlign w:val="center"/>
          </w:tcPr>
          <w:p>
            <w:pPr>
              <w:spacing w:line="360" w:lineRule="exact"/>
              <w:jc w:val="center"/>
              <w:rPr>
                <w:rFonts w:hint="default"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兆易创新 GigaDevice</w:t>
            </w:r>
          </w:p>
        </w:tc>
        <w:tc>
          <w:tcPr>
            <w:tcW w:w="2870"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兆易创新与普华基础软件达成战略合作</w:t>
            </w:r>
          </w:p>
        </w:tc>
        <w:tc>
          <w:tcPr>
            <w:tcW w:w="4875"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与国内车用OS厂商合作，结合车规MCU与国产汽车操作系统，共同推进国产汽车电子生态。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90" w:type="dxa"/>
            <w:vMerge w:val="continue"/>
            <w:vAlign w:val="center"/>
          </w:tcPr>
          <w:p>
            <w:pPr>
              <w:spacing w:line="360" w:lineRule="exact"/>
              <w:jc w:val="center"/>
              <w:rPr>
                <w:rFonts w:hint="eastAsia" w:ascii="微软雅黑" w:hAnsi="微软雅黑" w:eastAsia="微软雅黑" w:cs="微软雅黑"/>
                <w:sz w:val="20"/>
                <w:szCs w:val="20"/>
                <w:lang w:val="en-US" w:eastAsia="zh-CN"/>
              </w:rPr>
            </w:pPr>
          </w:p>
        </w:tc>
        <w:tc>
          <w:tcPr>
            <w:tcW w:w="1868"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芯海科技</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Chipsea</w:t>
            </w:r>
          </w:p>
        </w:tc>
        <w:tc>
          <w:tcPr>
            <w:tcW w:w="2870"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芯海科技发布2025年中报，聚焦AI全栈解决方案</w:t>
            </w:r>
          </w:p>
        </w:tc>
        <w:tc>
          <w:tcPr>
            <w:tcW w:w="4875"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半年报显示营收稳增，公司持续加大AI领域投入，布局“芯片+算法+场景+App+AI”全栈方案。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890" w:type="dxa"/>
            <w:vMerge w:val="continue"/>
            <w:vAlign w:val="center"/>
          </w:tcPr>
          <w:p>
            <w:pPr>
              <w:spacing w:line="360" w:lineRule="exact"/>
              <w:jc w:val="center"/>
              <w:rPr>
                <w:rFonts w:hint="eastAsia" w:ascii="微软雅黑" w:hAnsi="微软雅黑" w:eastAsia="微软雅黑" w:cs="微软雅黑"/>
                <w:sz w:val="20"/>
                <w:szCs w:val="20"/>
                <w:lang w:val="en-US" w:eastAsia="zh-CN"/>
              </w:rPr>
            </w:pPr>
          </w:p>
        </w:tc>
        <w:tc>
          <w:tcPr>
            <w:tcW w:w="1868"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瑞萨电子</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Renesas</w:t>
            </w:r>
          </w:p>
        </w:tc>
        <w:tc>
          <w:tcPr>
            <w:tcW w:w="2870"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瑞萨推出新一代高性能电机控制MCU(RA8T2)</w:t>
            </w:r>
          </w:p>
        </w:tc>
        <w:tc>
          <w:tcPr>
            <w:tcW w:w="4875"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发布1GHz+250MHz双核MCU，面向工业自动化和机器人市场，增强了其在电机控制领域的竞争力。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890" w:type="dxa"/>
            <w:vMerge w:val="continue"/>
            <w:vAlign w:val="center"/>
          </w:tcPr>
          <w:p>
            <w:pPr>
              <w:spacing w:line="360" w:lineRule="exact"/>
              <w:jc w:val="center"/>
              <w:rPr>
                <w:rFonts w:hint="eastAsia" w:ascii="微软雅黑" w:hAnsi="微软雅黑" w:eastAsia="微软雅黑" w:cs="微软雅黑"/>
                <w:sz w:val="20"/>
                <w:szCs w:val="20"/>
                <w:lang w:val="en-US" w:eastAsia="zh-CN"/>
              </w:rPr>
            </w:pPr>
          </w:p>
        </w:tc>
        <w:tc>
          <w:tcPr>
            <w:tcW w:w="1868"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摩尔线程</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Moore Threads</w:t>
            </w:r>
          </w:p>
        </w:tc>
        <w:tc>
          <w:tcPr>
            <w:tcW w:w="2870"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IPO 成功过会，引入 80 亿元资本推动 AI / GPU / SoC 研发</w:t>
            </w:r>
          </w:p>
        </w:tc>
        <w:tc>
          <w:tcPr>
            <w:tcW w:w="4875" w:type="dxa"/>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IPO 通过标志国产 GPU 能获得资本市场认可，将加速产品研发与生态验证，但研发投入大、亏损风险高。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890" w:type="dxa"/>
            <w:vMerge w:val="restart"/>
            <w:tcBorders>
              <w:left w:val="single" w:color="auto" w:sz="4" w:space="0"/>
              <w:right w:val="single" w:color="auto" w:sz="4" w:space="0"/>
            </w:tcBorders>
            <w:vAlign w:val="center"/>
          </w:tcPr>
          <w:p>
            <w:pPr>
              <w:spacing w:line="360" w:lineRule="exact"/>
              <w:jc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长期</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影响</w:t>
            </w:r>
          </w:p>
        </w:tc>
        <w:tc>
          <w:tcPr>
            <w:tcW w:w="1868" w:type="dxa"/>
            <w:tcBorders>
              <w:top w:val="single" w:color="auto" w:sz="4" w:space="0"/>
              <w:left w:val="single" w:color="auto" w:sz="4" w:space="0"/>
              <w:bottom w:val="single" w:color="auto" w:sz="4" w:space="0"/>
            </w:tcBorders>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SK海力士</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SK hynix</w:t>
            </w:r>
          </w:p>
        </w:tc>
        <w:tc>
          <w:tcPr>
            <w:tcW w:w="2870" w:type="dxa"/>
            <w:tcBorders>
              <w:top w:val="single" w:color="auto" w:sz="4" w:space="0"/>
              <w:bottom w:val="single" w:color="auto" w:sz="4" w:space="0"/>
            </w:tcBorders>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SK海力士完成世界首个HBM4开发并启动量产准备</w:t>
            </w:r>
          </w:p>
        </w:tc>
        <w:tc>
          <w:tcPr>
            <w:tcW w:w="4875" w:type="dxa"/>
            <w:tcBorders>
              <w:top w:val="single" w:color="auto" w:sz="4" w:space="0"/>
              <w:bottom w:val="single" w:color="auto" w:sz="4" w:space="0"/>
            </w:tcBorders>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宣布全球首个第四代高带宽存储器HBM4研制成功，带宽提升一倍，能效提高40%，确立AI存储技术领先地位。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890" w:type="dxa"/>
            <w:vMerge w:val="continue"/>
            <w:tcBorders>
              <w:left w:val="single" w:color="auto" w:sz="4" w:space="0"/>
              <w:right w:val="single" w:color="auto" w:sz="4" w:space="0"/>
            </w:tcBorders>
            <w:vAlign w:val="center"/>
          </w:tcPr>
          <w:p>
            <w:pPr>
              <w:spacing w:line="360" w:lineRule="exact"/>
              <w:jc w:val="center"/>
              <w:rPr>
                <w:rFonts w:hint="eastAsia" w:ascii="微软雅黑" w:hAnsi="微软雅黑" w:cs="微软雅黑"/>
                <w:sz w:val="20"/>
                <w:szCs w:val="20"/>
                <w:lang w:val="en-US" w:eastAsia="zh-CN"/>
              </w:rPr>
            </w:pPr>
          </w:p>
        </w:tc>
        <w:tc>
          <w:tcPr>
            <w:tcW w:w="1868" w:type="dxa"/>
            <w:tcBorders>
              <w:top w:val="single" w:color="auto" w:sz="4" w:space="0"/>
              <w:left w:val="single" w:color="auto" w:sz="4" w:space="0"/>
              <w:bottom w:val="single" w:color="auto" w:sz="4" w:space="0"/>
            </w:tcBorders>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台积电</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TSMC</w:t>
            </w:r>
          </w:p>
        </w:tc>
        <w:tc>
          <w:tcPr>
            <w:tcW w:w="2870" w:type="dxa"/>
            <w:tcBorders>
              <w:top w:val="single" w:color="auto" w:sz="4" w:space="0"/>
              <w:bottom w:val="single" w:color="auto" w:sz="4" w:space="0"/>
            </w:tcBorders>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台积电启动1.4纳米制程新厂建设</w:t>
            </w:r>
          </w:p>
        </w:tc>
        <w:tc>
          <w:tcPr>
            <w:tcW w:w="4875" w:type="dxa"/>
            <w:tcBorders>
              <w:top w:val="single" w:color="auto" w:sz="4" w:space="0"/>
              <w:bottom w:val="single" w:color="auto" w:sz="4" w:space="0"/>
            </w:tcBorders>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宣布将于第四季度动工建设1.4nm厂，投资165亿美元，进一步巩固其先进制程全球领先地位。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890" w:type="dxa"/>
            <w:vMerge w:val="continue"/>
            <w:tcBorders>
              <w:left w:val="single" w:color="auto" w:sz="4" w:space="0"/>
              <w:right w:val="single" w:color="auto" w:sz="4" w:space="0"/>
            </w:tcBorders>
            <w:vAlign w:val="center"/>
          </w:tcPr>
          <w:p>
            <w:pPr>
              <w:spacing w:line="360" w:lineRule="exact"/>
              <w:jc w:val="center"/>
              <w:rPr>
                <w:rFonts w:hint="eastAsia" w:ascii="微软雅黑" w:hAnsi="微软雅黑" w:cs="微软雅黑"/>
                <w:sz w:val="20"/>
                <w:szCs w:val="20"/>
                <w:lang w:val="en-US" w:eastAsia="zh-CN"/>
              </w:rPr>
            </w:pPr>
            <w:bookmarkStart w:id="9" w:name="_Toc23704"/>
          </w:p>
        </w:tc>
        <w:tc>
          <w:tcPr>
            <w:tcW w:w="1868" w:type="dxa"/>
            <w:tcBorders>
              <w:top w:val="single" w:color="auto" w:sz="4" w:space="0"/>
              <w:left w:val="single" w:color="auto" w:sz="4" w:space="0"/>
            </w:tcBorders>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英伟达</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NVIDIA</w:t>
            </w:r>
          </w:p>
        </w:tc>
        <w:tc>
          <w:tcPr>
            <w:tcW w:w="2870" w:type="dxa"/>
            <w:tcBorders>
              <w:top w:val="single" w:color="auto" w:sz="4" w:space="0"/>
            </w:tcBorders>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英伟达与OpenAI达成部署10GW计算资源战略合作</w:t>
            </w:r>
          </w:p>
        </w:tc>
        <w:tc>
          <w:tcPr>
            <w:tcW w:w="4875" w:type="dxa"/>
            <w:tcBorders>
              <w:top w:val="single" w:color="auto" w:sz="4" w:space="0"/>
            </w:tcBorders>
            <w:shd w:val="clear" w:color="auto" w:fill="auto"/>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签署意向书为OpenAI部署至少10吉瓦GPU系统，英伟达承诺投入1000亿美元支持AI基础设施建设。</w:t>
            </w:r>
          </w:p>
        </w:tc>
      </w:tr>
    </w:tbl>
    <w:p>
      <w:pPr>
        <w:pStyle w:val="3"/>
        <w:keepNext/>
        <w:keepLines/>
        <w:pageBreakBefore w:val="0"/>
        <w:widowControl w:val="0"/>
        <w:numPr>
          <w:ilvl w:val="0"/>
          <w:numId w:val="0"/>
        </w:numPr>
        <w:kinsoku/>
        <w:wordWrap/>
        <w:overflowPunct/>
        <w:topLinePunct w:val="0"/>
        <w:autoSpaceDE/>
        <w:autoSpaceDN/>
        <w:bidi w:val="0"/>
        <w:adjustRightInd/>
        <w:snapToGrid/>
        <w:spacing w:before="500" w:after="0" w:line="440" w:lineRule="exact"/>
        <w:ind w:leftChars="0"/>
        <w:jc w:val="left"/>
        <w:textAlignment w:val="auto"/>
        <w:rPr>
          <w:rFonts w:hint="eastAsia"/>
          <w:sz w:val="24"/>
          <w:szCs w:val="24"/>
          <w:lang w:val="en-US" w:eastAsia="zh-CN"/>
        </w:rPr>
      </w:pPr>
      <w:r>
        <w:rPr>
          <w:rFonts w:hint="eastAsia"/>
          <w:sz w:val="24"/>
          <w:szCs w:val="24"/>
          <w:lang w:val="en-US" w:eastAsia="zh-CN"/>
        </w:rPr>
        <w:t>（一）短期影响</w:t>
      </w:r>
      <w:bookmarkEnd w:id="9"/>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left"/>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三星电子/美光DRAM/NAND 合约价大幅上涨</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最近业内消息显示，三星电子已通知核心客户第四季度将显著提高 DRAM 与 NAND Flash 合约价格，移动 DRAM（包括 LPDDR4X、LPDDR5/5X）预计上涨 15-30%，NAND 存储（eMMC、UFS 等）预计将上涨 5-10%。与此同时，美光也在多个渠道暂停报价，并预告其 DRAM / NAND 产品价格将提升 约 20-30%。此举反映出 AI 数据中心、高性能计算和移动设备对存储容量与带宽的需求持续上升，而产能释放与库存水平仍未能完全满足需求。短期内，下游手机厂商与系统厂商将面临成本上升压力，可能会提前锁定采购或调整产品定位以吸收成本；对存储厂商而言，这是改善议价能力与利润率的机会。中期看，这可能引导整个存储市场经历一个价格周期的上涨阶段，旧款/低密度 NAND 与低端 DRAM 的价格与供货紧张加剧，厂商将倾向于投资高密度与高端产品线以提升盈利。长期来看，如果涨价期持续并被终端市场与竞争对手普遍接受，将重塑存储技术选型曲线，提高 HBM、3D NAND 高堆叠方案等高附加值品类的竞争力，同时对存储器与系统的成本结构产生长期影响。需重点观察成本上升是否被用户接受、是否导致需求放缓，以及产能扩张/材料供给是否能对应跟上。</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英伟达/英特尔股权合作与共建 AI / x86 平台</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2025 年 9 月中旬，NVIDIA 宣布以约 50 亿美元 投资英特尔普通股，约占英特尔 4% 股份，并与其达成合作，联合开发 AI 加速器与 x86 CPU 平台。根据公报，这包括将 NVIDIA 的加速器／NVLink 技术与 Intel 的 CPU 架构结合，用于数据中心与 PC SoC 产品。短期影响表现在：Intel 股价大幅上涨，被视为其技术与制造能力获得市场认可；NVIDIA 则获得在多个级别平台上更强的话语权与供应链稳定性。中期来看，该合作可能帮助 Intel 加快在高性能和 AI 芯片上的产品迭代与竞争力恢复，同时 NVIDIA 也能通过这种合作在 x86／PC＋AI 融合产品中扩展其市场边界。长期来看，这可能标志着美系芯片公司在 AI 硬件生态的联合与平台型竞争的深化：有望对抗代工厂商（如 TSMC、Samsung）在制造与设计层面的领先，重塑人工智能时代下的计算平台格局。关键观察点包括：技术整合的进展（CPU-GPU 芯片融合、NVLink 效率）、产品路线图透明度、监管审批进度、以及合作中利益分配和产能承诺是否匹配市场预期。</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美光发布2025财年第四财季财报并指引业绩增长</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2025年9月24日盘后，美光科技公布了2025财年第四财季（截至8月28日）的业绩。财报显示，公司季度营收达113.2亿美元，同比增长46%，调整后每股收益远超分析师预期。财报会议上，美光强调受益于AI驱动的存储需求增长，尤其是高带宽存储（HBM）的需求持续旺盛。CEO Sanjay Mehrotra表示，当前HBM产能已被锁定，预计2026财年HBM出货量增速将超过整体DRAM，成为存储业务核心增长动力。美光还给出强劲指引，预计2026财年第一财季营收1220-1280亿美元，高于市场预期。此举反映出人工智能应用和数据中心升级对内存芯片需求的急速拉动，以及行业供需紧张导致的价格上涨趋势（同期业界也在就AI热潮中的存储紧缺启动价格谈判）。总体而言，美光本季度业绩表现抢眼，表明其在全球存储市场的供给能力与AI需求刚性使其短期内业绩大增，对公司业绩和产业链短期格局带来明显提振。</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亚德诺发布2025财年第三财季财报并超预期增长</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亚德诺9月发布了2025财年第三财季财报显示，第三财季营收达28.8亿美元，同比增长数十个百分点；经营现金流强劲，为4.62亿美元。此外，公司业绩超过预期，管理层表示各业务领域需求稳定，营收和每股收益均超出此前指引。ADI管理层指出，从汽车、通信到工业等多端市场均出现增长，订单充足，产品组合和客户结构多元化助力业绩稳定。公司还预计第四财季营收将维持3.0亿美元左右，毛利率处于高位。ADI此番业绩表现彰显其稳定的市场地位和产品竞争力，表明模拟与嵌入式市场短期内需求回暖。行业反应认为，该结果体现出模拟芯片在汽车电子、工业自动化等领域的持久需求，公司多元化战略和技术领先使其能够在复杂经济环境下依然保持增长。</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SK海力士就AI驱动的内存短缺与客户进行价格调整谈判</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随着AI数据中心建设加速，对高性能DRAM和NAND的需求激增，多家存储巨头已开始推高芯片价格。据市场研究机构报道，继美光和三星公布内存涨价计划后，SK海力士正在与客户协商价格调整政策。报告称，当前DRAM供应紧张主要是业者优先投片生产高带宽内存（HBM）所致，而AI推理和数据中心更新需求进一步加剧了供需失衡。SK海力士虽未正式公告涨价，但正在根据市场状况与客户探讨提高价格的方案。这一动向表明，在AI浪潮下，存储市场正进入供不应求阶段，短期内DRAM和SSD价格有望持续上行。对公司而言，涨价措施可改善毛利，但也可能抑制终端需求，产业链上游设备商有望从库存补货中受益。</w:t>
      </w:r>
    </w:p>
    <w:p>
      <w:pPr>
        <w:pStyle w:val="3"/>
        <w:keepNext/>
        <w:keepLines/>
        <w:pageBreakBefore w:val="0"/>
        <w:widowControl w:val="0"/>
        <w:numPr>
          <w:ilvl w:val="0"/>
          <w:numId w:val="0"/>
        </w:numPr>
        <w:kinsoku/>
        <w:wordWrap/>
        <w:overflowPunct/>
        <w:topLinePunct w:val="0"/>
        <w:autoSpaceDE/>
        <w:autoSpaceDN/>
        <w:bidi w:val="0"/>
        <w:adjustRightInd/>
        <w:snapToGrid/>
        <w:spacing w:before="500" w:after="0" w:line="440" w:lineRule="exact"/>
        <w:ind w:leftChars="0"/>
        <w:jc w:val="both"/>
        <w:textAlignment w:val="auto"/>
        <w:rPr>
          <w:rFonts w:hint="eastAsia"/>
          <w:sz w:val="24"/>
          <w:szCs w:val="24"/>
          <w:lang w:val="en-US" w:eastAsia="zh-CN"/>
        </w:rPr>
      </w:pPr>
      <w:bookmarkStart w:id="10" w:name="_Toc10252"/>
      <w:r>
        <w:rPr>
          <w:rFonts w:hint="eastAsia"/>
          <w:sz w:val="24"/>
          <w:szCs w:val="24"/>
          <w:lang w:val="en-US" w:eastAsia="zh-CN"/>
        </w:rPr>
        <w:t>（二）中期影响</w:t>
      </w:r>
      <w:bookmarkEnd w:id="10"/>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博通获10亿美元AI芯片大订单</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2025年9月5日，博通公司公布收到一项价值约10亿美元的AI加速器芯片定制订单（据媒体报道，此客户可能为OpenAI）。该消息公布后，博通股价大幅上涨约15%，创下新高。此次订单是博通定制ASIC业务的重要里程碑，标志其在AI专用芯片领域获得重大突破。公司此前已宣布与AI巨头合作开发专用加速器，此次大额合同进一步巩固了其作为AI基础设施供应商的地位。业内人士指出，此类定制化大单意味着博通在数据中心高性能计算市场竞争力提升，将推动其未来财年业绩增长和市场份额扩张。</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Microchip与Deca/SST宣布NVM芯片小核合作</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2025年9月10日，Microchip Technology宣布与封装厂商Deca和存储厂商Silicon Storage Technology (SST) 建立战略合作，共同开发非易失性存储（NVM）芯片小核方案。该方案结合Deca的扇出型封装技术与SST的SuperFlash存储技术，创建模块化、多芯片封装架构的基础。合作旨在为多芯片系统提供“芯片级”闪存，可灵活部署于各种应用场景。此举反映了业界对芯粒（chiplet）架构需求的增长，Microchip通过与Deca/SST协作，拓展了其在存储和封装技术上的能力。该合作有望加速下一代存储芯片设计创新，提高系统性能和集成度，增强Microchip在高性能NVM市场的竞争地位。</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兆易创新与普华基础软件达成战略合作</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2025年9月2日，国产芯片厂商兆易创新与车载操作系统提供商普华基础软件在中国汽车芯片大会上宣布达成战略合作。双方将围绕兆易创新车规级MCU芯片与普华提供的AUTOSAR车用基础软件平台展开深度协同，共同打造安全可靠的汽车电子软硬件解决方案。此举是在国家推动汽车电子国产化的大背景下的一项重要布局，通过软硬件联合可降低国产化门槛，加速智能网联汽车领域的生态建设。行业认为，兆易创新此举强化了其在汽车MCU领域的竞争力，与软件企业合作有助于形成国产替代的完整方案，对提升中国汽车电子产业链自主可控具有积极意义。</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芯海科技发布2025年中报营收增长并聚焦AI全栈解决方案</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2025年8月19日，芯海科技披露上半年业绩报告，公司上半年实现营业收入3.74亿元，同比增长6.8%；净利润-3882.8万元，同比增长31.7%。公司表示，业绩改善主要受益于BMS（电池管理系统）系列产品规模出货、头部客户可穿戴PPG业务增长以及人机交互产品在手机终端客户的快速增长。报告指出，芯海科技继续加大对AI领域的投入，深度融合模拟信号链与MCU平台技术，致力于构建“芯片+算法+场景+App+AI”的全栈解决方案。公司通过产品创新和管理优化提升业绩弹性，同时积极扩展AIoT、汽车电子、工业控制等核心市场。此战略布局显示芯海科技正利用AI技术渗透多行业应用，从而巩固并提升其在模拟与混合信号芯片领域的竞争力。</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瑞萨推出新一代高性能电机控制MCU (RA8T2)</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2025年9月25日，日本瑞萨电子发布RA8T2系列微控制器，该系列集成1GHz Arm Cortex-M85和250MHz Cortex-M33双核处理器。RA8T2主要面向高端电机控制市场，如工厂自动化、机器人等场景，显著提升数字信号处理和机器学习应用性能。新芯片还内建多路千兆以太网MAC和双端口EtherCAT从站接口，支持工业网络的高带宽通信需求。此外，RA8T2采用高密度MRAM非易失存储器，以提高速度和耐久度。公司高层指出，该系列产品延续了瑞萨在电机控制领域的技术领先地位，帮助客户在一个芯片上实现实时控制和通信功能。该发布凸显了瑞萨针对工业4.0和智能制造升级的市场布局，预计将推动其相关业务增长。</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cs="微软雅黑"/>
          <w:b/>
          <w:bCs/>
          <w:sz w:val="22"/>
          <w:szCs w:val="22"/>
          <w:lang w:val="en-US" w:eastAsia="zh-CN"/>
        </w:rPr>
        <w:t>摩尔线程</w:t>
      </w:r>
      <w:r>
        <w:rPr>
          <w:rFonts w:hint="eastAsia" w:ascii="微软雅黑" w:hAnsi="微软雅黑" w:eastAsia="微软雅黑" w:cs="微软雅黑"/>
          <w:b/>
          <w:bCs/>
          <w:sz w:val="22"/>
          <w:szCs w:val="22"/>
          <w:lang w:val="en-US" w:eastAsia="zh-CN"/>
        </w:rPr>
        <w:t>IPO 成功过会，引入 80 亿元资本推动 AI / GPU / SoC 研发</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9月26日，摩尔线程智能科技（北京）科创板 IPO 获上交所上市审核委员会通过，拟募资 80 亿元人民币，用于 AI 训推一体芯片、图形 GPU 芯片及 AI SoC 芯片的研发项目与补充流动资金。公司自 2020 年成立以来营业收入从 2022 年的约 0.46 亿元增至 2024 年的 4.38 亿元，2025 年上半年达约 7.02 亿元，展现高速增长趋势。虽然累计亏损超过 50 亿元且研发投入巨大，但此 IPO 成功标志其在国产 GPU / AI 基础设施领域的资本认可与技术投入进入新的阶段。短期来看，IPO 提振行业与资本市场信心，中期则将加快产品研发与生态适配能力；长期能否缩小与国际 GPU 厂商在性能、功耗与生态兼容性上的差距仍为关键观察点。</w:t>
      </w:r>
    </w:p>
    <w:p>
      <w:pPr>
        <w:pStyle w:val="3"/>
        <w:keepNext/>
        <w:keepLines/>
        <w:pageBreakBefore w:val="0"/>
        <w:widowControl w:val="0"/>
        <w:numPr>
          <w:ilvl w:val="0"/>
          <w:numId w:val="0"/>
        </w:numPr>
        <w:kinsoku/>
        <w:wordWrap/>
        <w:overflowPunct/>
        <w:topLinePunct w:val="0"/>
        <w:autoSpaceDE/>
        <w:autoSpaceDN/>
        <w:bidi w:val="0"/>
        <w:adjustRightInd/>
        <w:snapToGrid/>
        <w:spacing w:before="500" w:after="0" w:line="440" w:lineRule="exact"/>
        <w:ind w:leftChars="0"/>
        <w:jc w:val="both"/>
        <w:textAlignment w:val="auto"/>
        <w:rPr>
          <w:rFonts w:hint="eastAsia"/>
          <w:lang w:val="en-US" w:eastAsia="zh-CN"/>
        </w:rPr>
      </w:pPr>
      <w:bookmarkStart w:id="11" w:name="_Toc14293"/>
      <w:r>
        <w:rPr>
          <w:rFonts w:hint="eastAsia"/>
          <w:sz w:val="24"/>
          <w:szCs w:val="24"/>
          <w:lang w:val="en-US" w:eastAsia="zh-CN"/>
        </w:rPr>
        <w:t>（三）长期影响</w:t>
      </w:r>
      <w:bookmarkEnd w:id="11"/>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SK海力士完成世界首个HBM4开发并启动量产</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2025年9月12日，SK海力士宣布完成全球首个第四代高带宽存储器（HBM4）的开发，并已进入量产准备阶段。HBM4相较上一代产品实现带宽翻倍、能效提升40%。该技术通过增加I/O通道至2048位、采用先进封装与1b纳米工艺，使HBM4可提供远超行业标准的传输速率和效率。公司管理层表示，这一里程碑标志着突破AI基础设施的瓶颈，将显著提升AI算力效率。业内普遍认为，SK海力士在HBM领域的领先优势将巩固其在AI高端存储市场的地位。长期看，HBM4的量产准备有望缓解AI数据中心的带宽需求压力，并推动下一代服务器与AI计算的发展。</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jc w:val="both"/>
        <w:textAlignment w:val="auto"/>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台积电启动1.4纳米制程新厂建设</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2025年9月25日，据台湾《台北时报》报道，台积电计划于第四季度动工建设1.4纳米制程的最新晶圆厂（目标2028年投产），预计投资约新台币5000亿元（约合165亿美元）。该项目由台湾中部科学园区管理局公告，表明台积电将采用比原规划更先进的制程技术来建设新厂。与此同时，台积电已在加紧2纳米和1.6纳米工艺的生产准备，2纳米量产计划于本季启动，1.6纳米于2026年下半年在南部厂量产。这一系列举措体现了台积电应对全球AI与高性能计算需求的战略加速：巨额投资先进制程扩产，不仅巩固其市场龙头地位，也为产业链上游供应商带来大量订单。长期而言，这将进一步提升台积电技术和规模优势，推动台湾半导体行业持续增长。</w:t>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pStyle w:val="2"/>
        <w:numPr>
          <w:ilvl w:val="0"/>
          <w:numId w:val="0"/>
        </w:numPr>
        <w:bidi w:val="0"/>
        <w:ind w:leftChars="0"/>
        <w:rPr>
          <w:rFonts w:hint="eastAsia" w:ascii="微软雅黑" w:hAnsi="微软雅黑" w:cs="微软雅黑"/>
          <w:lang w:val="en-US" w:eastAsia="zh-CN"/>
        </w:rPr>
      </w:pPr>
    </w:p>
    <w:p>
      <w:pPr>
        <w:rPr>
          <w:rFonts w:hint="eastAsia"/>
          <w:lang w:val="en-US" w:eastAsia="zh-CN"/>
        </w:rPr>
      </w:pPr>
    </w:p>
    <w:p>
      <w:pPr>
        <w:pStyle w:val="2"/>
        <w:numPr>
          <w:ilvl w:val="0"/>
          <w:numId w:val="0"/>
        </w:numPr>
        <w:bidi w:val="0"/>
        <w:ind w:leftChars="0"/>
        <w:rPr>
          <w:rFonts w:hint="eastAsia"/>
        </w:rPr>
      </w:pPr>
      <w:r>
        <w:rPr>
          <w:rFonts w:hint="eastAsia" w:ascii="微软雅黑" w:hAnsi="微软雅黑" w:cs="微软雅黑"/>
          <w:lang w:val="en-US" w:eastAsia="zh-CN"/>
        </w:rPr>
        <w:t>三、终端市场动态</w:t>
      </w:r>
      <w:bookmarkEnd w:id="3"/>
    </w:p>
    <w:tbl>
      <w:tblPr>
        <w:tblStyle w:val="19"/>
        <w:tblpPr w:leftFromText="180" w:rightFromText="180" w:vertAnchor="text" w:horzAnchor="page" w:tblpX="1552" w:tblpY="6"/>
        <w:tblOverlap w:val="never"/>
        <w:tblW w:w="8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774"/>
        <w:gridCol w:w="2096"/>
        <w:gridCol w:w="3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660" w:type="dxa"/>
            <w:gridSpan w:val="4"/>
            <w:shd w:val="clear" w:color="auto" w:fill="73308A"/>
            <w:vAlign w:val="center"/>
          </w:tcPr>
          <w:p>
            <w:pPr>
              <w:spacing w:line="360" w:lineRule="exact"/>
              <w:ind w:firstLine="200"/>
              <w:jc w:val="center"/>
              <w:rPr>
                <w:rFonts w:hint="eastAsia" w:ascii="微软雅黑" w:hAnsi="微软雅黑" w:eastAsia="微软雅黑" w:cs="微软雅黑"/>
                <w:sz w:val="20"/>
                <w:szCs w:val="20"/>
              </w:rPr>
            </w:pPr>
            <w:r>
              <w:rPr>
                <w:rFonts w:hint="eastAsia" w:ascii="微软雅黑" w:hAnsi="微软雅黑" w:eastAsia="微软雅黑" w:cs="微软雅黑"/>
                <w:b/>
                <w:bCs/>
                <w:color w:val="FFFFFF" w:themeColor="background1"/>
                <w:sz w:val="22"/>
                <w:szCs w:val="22"/>
                <w14:textFill>
                  <w14:solidFill>
                    <w14:schemeClr w14:val="bg1"/>
                  </w14:solidFill>
                </w14:textFill>
              </w:rPr>
              <w:t>终端市场动态概览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01" w:type="dxa"/>
            <w:vAlign w:val="center"/>
          </w:tcPr>
          <w:p>
            <w:pPr>
              <w:spacing w:line="360" w:lineRule="exact"/>
              <w:jc w:val="center"/>
              <w:rPr>
                <w:rFonts w:hint="eastAsia" w:ascii="微软雅黑" w:hAnsi="微软雅黑" w:eastAsia="微软雅黑" w:cs="微软雅黑"/>
                <w:b/>
                <w:bCs/>
                <w:sz w:val="20"/>
                <w:szCs w:val="20"/>
                <w:lang w:eastAsia="zh-CN"/>
              </w:rPr>
            </w:pPr>
            <w:r>
              <w:rPr>
                <w:rFonts w:hint="eastAsia" w:ascii="微软雅黑" w:hAnsi="微软雅黑" w:eastAsia="微软雅黑" w:cs="微软雅黑"/>
                <w:b/>
                <w:bCs/>
                <w:sz w:val="20"/>
                <w:szCs w:val="20"/>
                <w:lang w:val="en-US" w:eastAsia="zh-CN"/>
              </w:rPr>
              <w:t>类别</w:t>
            </w:r>
          </w:p>
        </w:tc>
        <w:tc>
          <w:tcPr>
            <w:tcW w:w="1774" w:type="dxa"/>
            <w:vAlign w:val="center"/>
          </w:tcPr>
          <w:p>
            <w:pPr>
              <w:spacing w:line="360" w:lineRule="exact"/>
              <w:jc w:val="center"/>
              <w:rPr>
                <w:rFonts w:hint="eastAsia" w:ascii="微软雅黑" w:hAnsi="微软雅黑" w:eastAsia="微软雅黑" w:cs="微软雅黑"/>
                <w:b/>
                <w:bCs/>
                <w:sz w:val="20"/>
                <w:szCs w:val="20"/>
                <w:lang w:eastAsia="zh-CN"/>
              </w:rPr>
            </w:pPr>
            <w:r>
              <w:rPr>
                <w:rFonts w:hint="eastAsia" w:ascii="微软雅黑" w:hAnsi="微软雅黑" w:eastAsia="微软雅黑" w:cs="微软雅黑"/>
                <w:b/>
                <w:bCs/>
                <w:sz w:val="20"/>
                <w:szCs w:val="20"/>
                <w:lang w:val="en-US" w:eastAsia="zh-CN"/>
              </w:rPr>
              <w:t>版块</w:t>
            </w:r>
          </w:p>
        </w:tc>
        <w:tc>
          <w:tcPr>
            <w:tcW w:w="2096" w:type="dxa"/>
            <w:vAlign w:val="center"/>
          </w:tcPr>
          <w:p>
            <w:pPr>
              <w:spacing w:line="360" w:lineRule="exact"/>
              <w:jc w:val="center"/>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厂商</w:t>
            </w:r>
          </w:p>
        </w:tc>
        <w:tc>
          <w:tcPr>
            <w:tcW w:w="3689" w:type="dxa"/>
            <w:vAlign w:val="center"/>
          </w:tcPr>
          <w:p>
            <w:pPr>
              <w:spacing w:line="360" w:lineRule="exact"/>
              <w:jc w:val="center"/>
              <w:rPr>
                <w:rFonts w:hint="eastAsia" w:ascii="微软雅黑" w:hAnsi="微软雅黑" w:eastAsia="微软雅黑" w:cs="微软雅黑"/>
                <w:b/>
                <w:bCs/>
                <w:sz w:val="20"/>
                <w:szCs w:val="20"/>
                <w:lang w:eastAsia="zh-CN"/>
              </w:rPr>
            </w:pPr>
            <w:r>
              <w:rPr>
                <w:rFonts w:hint="eastAsia" w:ascii="微软雅黑" w:hAnsi="微软雅黑" w:cs="微软雅黑"/>
                <w:b/>
                <w:bCs/>
                <w:sz w:val="20"/>
                <w:szCs w:val="20"/>
                <w:lang w:val="en-US" w:eastAsia="zh-CN"/>
              </w:rPr>
              <w:t>8-9</w:t>
            </w:r>
            <w:r>
              <w:rPr>
                <w:rFonts w:hint="eastAsia" w:ascii="微软雅黑" w:hAnsi="微软雅黑" w:eastAsia="微软雅黑" w:cs="微软雅黑"/>
                <w:b/>
                <w:bCs/>
                <w:sz w:val="20"/>
                <w:szCs w:val="20"/>
                <w:lang w:val="en-US" w:eastAsia="zh-CN"/>
              </w:rPr>
              <w:t>月市场动态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1101" w:type="dxa"/>
            <w:vMerge w:val="restart"/>
            <w:vAlign w:val="center"/>
          </w:tcPr>
          <w:p>
            <w:pPr>
              <w:spacing w:line="360" w:lineRule="exact"/>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人工</w:t>
            </w:r>
          </w:p>
          <w:p>
            <w:pPr>
              <w:spacing w:line="360" w:lineRule="exact"/>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智能</w:t>
            </w:r>
          </w:p>
        </w:tc>
        <w:tc>
          <w:tcPr>
            <w:tcW w:w="1774" w:type="dxa"/>
            <w:vAlign w:val="center"/>
          </w:tcPr>
          <w:p>
            <w:pPr>
              <w:keepNext w:val="0"/>
              <w:keepLines w:val="0"/>
              <w:widowControl/>
              <w:suppressLineNumbers w:val="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vertAlign w:val="baseline"/>
                <w:lang w:val="en-US" w:eastAsia="zh-CN"/>
              </w:rPr>
              <w:t>AI芯片</w:t>
            </w:r>
          </w:p>
        </w:tc>
        <w:tc>
          <w:tcPr>
            <w:tcW w:w="2096" w:type="dxa"/>
            <w:vAlign w:val="center"/>
          </w:tcPr>
          <w:p>
            <w:pPr>
              <w:spacing w:line="360" w:lineRule="exact"/>
              <w:jc w:val="center"/>
              <w:rPr>
                <w:rFonts w:hint="default" w:ascii="微软雅黑" w:hAnsi="微软雅黑" w:cs="微软雅黑"/>
                <w:color w:val="auto"/>
                <w:sz w:val="20"/>
                <w:szCs w:val="20"/>
                <w:lang w:val="en-US" w:eastAsia="zh-CN"/>
              </w:rPr>
            </w:pPr>
            <w:r>
              <w:rPr>
                <w:rFonts w:hint="default" w:ascii="微软雅黑" w:hAnsi="微软雅黑" w:cs="微软雅黑"/>
                <w:color w:val="auto"/>
                <w:sz w:val="20"/>
                <w:szCs w:val="20"/>
                <w:lang w:val="en-US" w:eastAsia="zh-CN"/>
              </w:rPr>
              <w:t>Groq</w:t>
            </w:r>
          </w:p>
        </w:tc>
        <w:tc>
          <w:tcPr>
            <w:tcW w:w="3689" w:type="dxa"/>
            <w:vAlign w:val="center"/>
          </w:tcPr>
          <w:p>
            <w:pPr>
              <w:spacing w:line="360" w:lineRule="exact"/>
              <w:jc w:val="center"/>
              <w:rPr>
                <w:rFonts w:hint="default" w:ascii="微软雅黑" w:hAnsi="微软雅黑" w:eastAsia="微软雅黑" w:cs="微软雅黑"/>
                <w:sz w:val="20"/>
                <w:szCs w:val="20"/>
                <w:lang w:val="en-US" w:eastAsia="zh-CN"/>
              </w:rPr>
            </w:pPr>
            <w:r>
              <w:rPr>
                <w:rFonts w:hint="eastAsia" w:ascii="微软雅黑" w:hAnsi="微软雅黑" w:cs="微软雅黑"/>
                <w:sz w:val="20"/>
                <w:szCs w:val="20"/>
                <w:lang w:val="en-US" w:eastAsia="zh-CN"/>
              </w:rPr>
              <w:t>AI芯片初创公司Groq融资狂吸7.5亿美元，这笔资金将用于扩大数据中心规模，Groq计划今年宣布其在亚太地区的首个布局点。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1101" w:type="dxa"/>
            <w:vMerge w:val="continue"/>
            <w:vAlign w:val="center"/>
          </w:tcPr>
          <w:p>
            <w:pPr>
              <w:spacing w:line="360" w:lineRule="exact"/>
              <w:ind w:firstLine="200"/>
              <w:jc w:val="center"/>
              <w:rPr>
                <w:rFonts w:hint="eastAsia" w:ascii="微软雅黑" w:hAnsi="微软雅黑" w:eastAsia="微软雅黑" w:cs="微软雅黑"/>
                <w:sz w:val="20"/>
                <w:szCs w:val="20"/>
              </w:rPr>
            </w:pPr>
          </w:p>
        </w:tc>
        <w:tc>
          <w:tcPr>
            <w:tcW w:w="1774" w:type="dxa"/>
            <w:vAlign w:val="center"/>
          </w:tcPr>
          <w:p>
            <w:pPr>
              <w:keepNext w:val="0"/>
              <w:keepLines w:val="0"/>
              <w:widowControl/>
              <w:suppressLineNumbers w:val="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vertAlign w:val="baseline"/>
                <w:lang w:val="en-US" w:eastAsia="zh-CN"/>
              </w:rPr>
              <w:t>云计算与大数据</w:t>
            </w:r>
          </w:p>
        </w:tc>
        <w:tc>
          <w:tcPr>
            <w:tcW w:w="2096" w:type="dxa"/>
            <w:vAlign w:val="center"/>
          </w:tcPr>
          <w:p>
            <w:pPr>
              <w:spacing w:line="360" w:lineRule="exact"/>
              <w:jc w:val="center"/>
              <w:rPr>
                <w:rFonts w:hint="eastAsia" w:ascii="微软雅黑" w:hAnsi="微软雅黑" w:cs="微软雅黑"/>
                <w:color w:val="auto"/>
                <w:sz w:val="20"/>
                <w:szCs w:val="20"/>
                <w:lang w:val="en-US" w:eastAsia="zh-CN"/>
              </w:rPr>
            </w:pPr>
            <w:r>
              <w:rPr>
                <w:rFonts w:hint="eastAsia" w:ascii="微软雅黑" w:hAnsi="微软雅黑" w:cs="微软雅黑"/>
                <w:color w:val="auto"/>
                <w:sz w:val="20"/>
                <w:szCs w:val="20"/>
                <w:lang w:val="en-US" w:eastAsia="zh-CN"/>
              </w:rPr>
              <w:t>英伟达</w:t>
            </w:r>
          </w:p>
          <w:p>
            <w:pPr>
              <w:spacing w:line="360" w:lineRule="exact"/>
              <w:jc w:val="center"/>
              <w:rPr>
                <w:rFonts w:hint="default" w:ascii="微软雅黑" w:hAnsi="微软雅黑" w:cs="微软雅黑"/>
                <w:color w:val="auto"/>
                <w:sz w:val="20"/>
                <w:szCs w:val="20"/>
                <w:lang w:val="en-US" w:eastAsia="zh-CN"/>
              </w:rPr>
            </w:pPr>
            <w:r>
              <w:rPr>
                <w:rFonts w:hint="eastAsia" w:ascii="微软雅黑" w:hAnsi="微软雅黑" w:cs="微软雅黑"/>
                <w:color w:val="auto"/>
                <w:sz w:val="20"/>
                <w:szCs w:val="20"/>
                <w:lang w:val="en-US" w:eastAsia="zh-CN"/>
              </w:rPr>
              <w:t>NVIDIA</w:t>
            </w:r>
          </w:p>
        </w:tc>
        <w:tc>
          <w:tcPr>
            <w:tcW w:w="3689" w:type="dxa"/>
            <w:vAlign w:val="center"/>
          </w:tcPr>
          <w:p>
            <w:pPr>
              <w:spacing w:line="360" w:lineRule="exact"/>
              <w:jc w:val="center"/>
              <w:rPr>
                <w:rFonts w:hint="default"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英伟达将向OpenAI投资最多1000亿美元，以供</w:t>
            </w:r>
            <w:r>
              <w:rPr>
                <w:rFonts w:hint="eastAsia" w:ascii="微软雅黑" w:hAnsi="微软雅黑" w:cs="微软雅黑"/>
                <w:sz w:val="20"/>
                <w:szCs w:val="20"/>
                <w:lang w:val="en-US" w:eastAsia="zh-CN"/>
              </w:rPr>
              <w:t>其</w:t>
            </w:r>
            <w:r>
              <w:rPr>
                <w:rFonts w:hint="eastAsia" w:ascii="微软雅黑" w:hAnsi="微软雅黑" w:eastAsia="微软雅黑" w:cs="微软雅黑"/>
                <w:sz w:val="20"/>
                <w:szCs w:val="20"/>
                <w:lang w:val="en-US" w:eastAsia="zh-CN"/>
              </w:rPr>
              <w:t>建设并部署至少10吉瓦的AI数据中心</w:t>
            </w:r>
            <w:r>
              <w:rPr>
                <w:rFonts w:hint="eastAsia" w:ascii="微软雅黑" w:hAnsi="微软雅黑" w:cs="微软雅黑"/>
                <w:sz w:val="20"/>
                <w:szCs w:val="20"/>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1101" w:type="dxa"/>
            <w:vMerge w:val="restart"/>
            <w:vAlign w:val="center"/>
          </w:tcPr>
          <w:p>
            <w:pPr>
              <w:spacing w:line="360" w:lineRule="exact"/>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新能源</w:t>
            </w:r>
          </w:p>
        </w:tc>
        <w:tc>
          <w:tcPr>
            <w:tcW w:w="1774" w:type="dxa"/>
            <w:vAlign w:val="center"/>
          </w:tcPr>
          <w:p>
            <w:pPr>
              <w:numPr>
                <w:ilvl w:val="0"/>
                <w:numId w:val="0"/>
              </w:numPr>
              <w:ind w:left="0" w:leftChars="0" w:firstLine="0" w:firstLineChars="0"/>
              <w:jc w:val="center"/>
              <w:rPr>
                <w:rFonts w:hint="eastAsia" w:ascii="微软雅黑" w:hAnsi="微软雅黑" w:eastAsia="微软雅黑" w:cs="微软雅黑"/>
                <w:sz w:val="20"/>
                <w:szCs w:val="20"/>
                <w:lang w:val="en-US"/>
              </w:rPr>
            </w:pPr>
            <w:r>
              <w:rPr>
                <w:rFonts w:hint="eastAsia" w:ascii="微软雅黑" w:hAnsi="微软雅黑" w:eastAsia="微软雅黑" w:cs="微软雅黑"/>
                <w:sz w:val="20"/>
                <w:szCs w:val="20"/>
                <w:vertAlign w:val="baseline"/>
                <w:lang w:val="en-US" w:eastAsia="zh-CN"/>
              </w:rPr>
              <w:t>光伏、储能</w:t>
            </w:r>
          </w:p>
        </w:tc>
        <w:tc>
          <w:tcPr>
            <w:tcW w:w="2096" w:type="dxa"/>
            <w:vAlign w:val="center"/>
          </w:tcPr>
          <w:p>
            <w:pPr>
              <w:spacing w:line="360" w:lineRule="exact"/>
              <w:jc w:val="center"/>
              <w:rPr>
                <w:rFonts w:hint="default" w:ascii="微软雅黑" w:hAnsi="微软雅黑" w:cs="微软雅黑"/>
                <w:color w:val="auto"/>
                <w:sz w:val="20"/>
                <w:szCs w:val="20"/>
                <w:lang w:val="en-US" w:eastAsia="zh-CN"/>
              </w:rPr>
            </w:pPr>
            <w:r>
              <w:rPr>
                <w:rFonts w:hint="default" w:ascii="微软雅黑" w:hAnsi="微软雅黑" w:cs="微软雅黑"/>
                <w:color w:val="auto"/>
                <w:sz w:val="20"/>
                <w:szCs w:val="20"/>
                <w:lang w:val="en-US" w:eastAsia="zh-CN"/>
              </w:rPr>
              <w:t>阳光电源</w:t>
            </w:r>
          </w:p>
          <w:p>
            <w:pPr>
              <w:spacing w:line="360" w:lineRule="exact"/>
              <w:jc w:val="center"/>
              <w:rPr>
                <w:rFonts w:hint="default" w:ascii="微软雅黑" w:hAnsi="微软雅黑" w:cs="微软雅黑"/>
                <w:color w:val="auto"/>
                <w:sz w:val="20"/>
                <w:szCs w:val="20"/>
                <w:lang w:val="en-US" w:eastAsia="zh-CN"/>
              </w:rPr>
            </w:pPr>
            <w:r>
              <w:rPr>
                <w:rFonts w:hint="default" w:ascii="微软雅黑" w:hAnsi="微软雅黑" w:cs="微软雅黑"/>
                <w:color w:val="auto"/>
                <w:sz w:val="20"/>
                <w:szCs w:val="20"/>
                <w:lang w:val="en-US" w:eastAsia="zh-CN"/>
              </w:rPr>
              <w:t>SUNGROW</w:t>
            </w:r>
          </w:p>
        </w:tc>
        <w:tc>
          <w:tcPr>
            <w:tcW w:w="3689" w:type="dxa"/>
            <w:vAlign w:val="center"/>
          </w:tcPr>
          <w:p>
            <w:pPr>
              <w:spacing w:line="360" w:lineRule="exact"/>
              <w:jc w:val="center"/>
              <w:rPr>
                <w:rFonts w:hint="default"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阳光电源计划在埃及建立</w:t>
            </w:r>
            <w:r>
              <w:rPr>
                <w:rFonts w:hint="eastAsia" w:ascii="微软雅黑" w:hAnsi="微软雅黑" w:cs="微软雅黑"/>
                <w:sz w:val="20"/>
                <w:szCs w:val="20"/>
                <w:lang w:val="en-US" w:eastAsia="zh-CN"/>
              </w:rPr>
              <w:t>,</w:t>
            </w:r>
            <w:r>
              <w:rPr>
                <w:rFonts w:hint="eastAsia" w:ascii="微软雅黑" w:hAnsi="微软雅黑" w:eastAsia="微软雅黑" w:cs="微软雅黑"/>
                <w:sz w:val="20"/>
                <w:szCs w:val="20"/>
                <w:lang w:val="en-US" w:eastAsia="zh-CN"/>
              </w:rPr>
              <w:t>产能10GW的储能电池工厂</w:t>
            </w:r>
            <w:r>
              <w:rPr>
                <w:rFonts w:hint="eastAsia" w:ascii="微软雅黑" w:hAnsi="微软雅黑" w:cs="微软雅黑"/>
                <w:sz w:val="20"/>
                <w:szCs w:val="20"/>
                <w:lang w:val="en-US" w:eastAsia="zh-CN"/>
              </w:rPr>
              <w:t>，</w:t>
            </w:r>
            <w:r>
              <w:rPr>
                <w:rFonts w:hint="eastAsia" w:ascii="微软雅黑" w:hAnsi="微软雅黑" w:eastAsia="微软雅黑" w:cs="微软雅黑"/>
                <w:sz w:val="20"/>
                <w:szCs w:val="20"/>
                <w:lang w:val="en-US" w:eastAsia="zh-CN"/>
              </w:rPr>
              <w:t>助力埃及实现新能源及可再生能源产业链本土化战略目标。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1101" w:type="dxa"/>
            <w:vMerge w:val="continue"/>
            <w:vAlign w:val="center"/>
          </w:tcPr>
          <w:p>
            <w:pPr>
              <w:spacing w:line="360" w:lineRule="exact"/>
              <w:ind w:firstLine="200"/>
              <w:jc w:val="center"/>
              <w:rPr>
                <w:rFonts w:hint="eastAsia" w:ascii="微软雅黑" w:hAnsi="微软雅黑" w:eastAsia="微软雅黑" w:cs="微软雅黑"/>
                <w:sz w:val="20"/>
                <w:szCs w:val="20"/>
              </w:rPr>
            </w:pPr>
          </w:p>
        </w:tc>
        <w:tc>
          <w:tcPr>
            <w:tcW w:w="1774" w:type="dxa"/>
            <w:vAlign w:val="center"/>
          </w:tcPr>
          <w:p>
            <w:pPr>
              <w:numPr>
                <w:ilvl w:val="0"/>
                <w:numId w:val="0"/>
              </w:numPr>
              <w:ind w:left="0" w:leftChars="0" w:firstLine="0" w:firstLineChars="0"/>
              <w:jc w:val="center"/>
              <w:rPr>
                <w:rFonts w:hint="eastAsia" w:ascii="微软雅黑" w:hAnsi="微软雅黑" w:eastAsia="微软雅黑" w:cs="微软雅黑"/>
                <w:sz w:val="20"/>
                <w:szCs w:val="20"/>
                <w:vertAlign w:val="baseline"/>
                <w:lang w:val="en-US" w:eastAsia="zh-CN"/>
              </w:rPr>
            </w:pPr>
            <w:r>
              <w:rPr>
                <w:rFonts w:hint="eastAsia" w:ascii="微软雅黑" w:hAnsi="微软雅黑" w:eastAsia="微软雅黑" w:cs="微软雅黑"/>
                <w:sz w:val="20"/>
                <w:szCs w:val="20"/>
                <w:vertAlign w:val="baseline"/>
                <w:lang w:val="en-US" w:eastAsia="zh-CN"/>
              </w:rPr>
              <w:t>新能源汽车</w:t>
            </w:r>
          </w:p>
        </w:tc>
        <w:tc>
          <w:tcPr>
            <w:tcW w:w="2096" w:type="dxa"/>
            <w:vAlign w:val="center"/>
          </w:tcPr>
          <w:p>
            <w:pPr>
              <w:spacing w:line="360" w:lineRule="exact"/>
              <w:jc w:val="center"/>
              <w:rPr>
                <w:rFonts w:hint="eastAsia" w:ascii="微软雅黑" w:hAnsi="微软雅黑" w:cs="微软雅黑"/>
                <w:color w:val="auto"/>
                <w:sz w:val="20"/>
                <w:szCs w:val="20"/>
                <w:lang w:val="en-US" w:eastAsia="zh-CN"/>
              </w:rPr>
            </w:pPr>
            <w:r>
              <w:rPr>
                <w:rFonts w:hint="eastAsia" w:ascii="微软雅黑" w:hAnsi="微软雅黑" w:cs="微软雅黑"/>
                <w:color w:val="auto"/>
                <w:sz w:val="20"/>
                <w:szCs w:val="20"/>
                <w:lang w:val="en-US" w:eastAsia="zh-CN"/>
              </w:rPr>
              <w:t>特斯拉</w:t>
            </w:r>
          </w:p>
          <w:p>
            <w:pPr>
              <w:spacing w:line="360" w:lineRule="exact"/>
              <w:jc w:val="center"/>
              <w:rPr>
                <w:rFonts w:hint="default" w:ascii="微软雅黑" w:hAnsi="微软雅黑" w:cs="微软雅黑"/>
                <w:color w:val="auto"/>
                <w:sz w:val="20"/>
                <w:szCs w:val="20"/>
                <w:lang w:val="en-US" w:eastAsia="zh-CN"/>
              </w:rPr>
            </w:pPr>
            <w:r>
              <w:rPr>
                <w:rFonts w:hint="default" w:ascii="微软雅黑" w:hAnsi="微软雅黑" w:cs="微软雅黑"/>
                <w:color w:val="auto"/>
                <w:sz w:val="20"/>
                <w:szCs w:val="20"/>
                <w:lang w:val="en-US" w:eastAsia="zh-CN"/>
              </w:rPr>
              <w:t>Tesla</w:t>
            </w:r>
          </w:p>
        </w:tc>
        <w:tc>
          <w:tcPr>
            <w:tcW w:w="3689" w:type="dxa"/>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cs="微软雅黑"/>
                <w:sz w:val="20"/>
                <w:szCs w:val="20"/>
                <w:lang w:val="en-US" w:eastAsia="zh-CN"/>
              </w:rPr>
              <w:t>特</w:t>
            </w:r>
            <w:r>
              <w:rPr>
                <w:rFonts w:hint="eastAsia" w:ascii="微软雅黑" w:hAnsi="微软雅黑" w:eastAsia="微软雅黑" w:cs="微软雅黑"/>
                <w:sz w:val="20"/>
                <w:szCs w:val="20"/>
                <w:lang w:val="en-US" w:eastAsia="zh-CN"/>
              </w:rPr>
              <w:t>斯拉据悉已获准在亚利桑那州开始测试配备安全监控器的自动驾驶汽车</w:t>
            </w:r>
            <w:r>
              <w:rPr>
                <w:rFonts w:hint="eastAsia" w:ascii="微软雅黑" w:hAnsi="微软雅黑" w:cs="微软雅黑"/>
                <w:sz w:val="20"/>
                <w:szCs w:val="20"/>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1101" w:type="dxa"/>
            <w:vMerge w:val="restart"/>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消费</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电子</w:t>
            </w:r>
          </w:p>
        </w:tc>
        <w:tc>
          <w:tcPr>
            <w:tcW w:w="1774" w:type="dxa"/>
            <w:vAlign w:val="center"/>
          </w:tcPr>
          <w:p>
            <w:pPr>
              <w:numPr>
                <w:ilvl w:val="0"/>
                <w:numId w:val="0"/>
              </w:numPr>
              <w:ind w:left="0" w:leftChars="0" w:firstLine="0" w:firstLineChars="0"/>
              <w:jc w:val="center"/>
              <w:rPr>
                <w:rFonts w:hint="eastAsia" w:ascii="微软雅黑" w:hAnsi="微软雅黑" w:eastAsia="微软雅黑" w:cs="微软雅黑"/>
                <w:sz w:val="20"/>
                <w:szCs w:val="20"/>
                <w:lang w:val="en-US"/>
              </w:rPr>
            </w:pPr>
            <w:r>
              <w:rPr>
                <w:rFonts w:hint="eastAsia" w:ascii="微软雅黑" w:hAnsi="微软雅黑" w:eastAsia="微软雅黑" w:cs="微软雅黑"/>
                <w:kern w:val="2"/>
                <w:sz w:val="20"/>
                <w:szCs w:val="20"/>
                <w:vertAlign w:val="baseline"/>
                <w:lang w:val="en-US" w:eastAsia="zh-CN" w:bidi="ar-SA"/>
              </w:rPr>
              <w:t>智能手机</w:t>
            </w:r>
          </w:p>
        </w:tc>
        <w:tc>
          <w:tcPr>
            <w:tcW w:w="2096" w:type="dxa"/>
            <w:vAlign w:val="center"/>
          </w:tcPr>
          <w:p>
            <w:pPr>
              <w:spacing w:line="360" w:lineRule="exact"/>
              <w:jc w:val="center"/>
              <w:rPr>
                <w:rFonts w:hint="eastAsia" w:ascii="微软雅黑" w:hAnsi="微软雅黑" w:cs="微软雅黑"/>
                <w:color w:val="auto"/>
                <w:sz w:val="20"/>
                <w:szCs w:val="20"/>
                <w:lang w:val="en-US" w:eastAsia="zh-CN"/>
              </w:rPr>
            </w:pPr>
            <w:r>
              <w:rPr>
                <w:rFonts w:hint="eastAsia" w:ascii="微软雅黑" w:hAnsi="微软雅黑" w:cs="微软雅黑"/>
                <w:color w:val="auto"/>
                <w:sz w:val="20"/>
                <w:szCs w:val="20"/>
                <w:lang w:val="en-US" w:eastAsia="zh-CN"/>
              </w:rPr>
              <w:t>苹果</w:t>
            </w:r>
          </w:p>
          <w:p>
            <w:pPr>
              <w:spacing w:line="360" w:lineRule="exact"/>
              <w:jc w:val="center"/>
              <w:rPr>
                <w:rFonts w:hint="default" w:ascii="微软雅黑" w:hAnsi="微软雅黑" w:eastAsia="微软雅黑" w:cs="微软雅黑"/>
                <w:color w:val="auto"/>
                <w:sz w:val="20"/>
                <w:szCs w:val="20"/>
                <w:lang w:val="en-US" w:eastAsia="zh-CN"/>
              </w:rPr>
            </w:pPr>
            <w:r>
              <w:rPr>
                <w:rFonts w:hint="eastAsia" w:ascii="微软雅黑" w:hAnsi="微软雅黑" w:cs="微软雅黑"/>
                <w:color w:val="auto"/>
                <w:sz w:val="20"/>
                <w:szCs w:val="20"/>
                <w:lang w:val="en-US" w:eastAsia="zh-CN"/>
              </w:rPr>
              <w:t>APPLE</w:t>
            </w:r>
          </w:p>
        </w:tc>
        <w:tc>
          <w:tcPr>
            <w:tcW w:w="3689" w:type="dxa"/>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苹果秋季发布会如期举行，推出AirPods Pro 3、三款Apple Watch，以及四款iPhone 17系列</w:t>
            </w:r>
            <w:r>
              <w:rPr>
                <w:rFonts w:hint="default" w:ascii="微软雅黑" w:hAnsi="微软雅黑" w:eastAsia="微软雅黑" w:cs="微软雅黑"/>
                <w:sz w:val="20"/>
                <w:szCs w:val="20"/>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1101" w:type="dxa"/>
            <w:vMerge w:val="continue"/>
            <w:vAlign w:val="center"/>
          </w:tcPr>
          <w:p>
            <w:pPr>
              <w:spacing w:line="360" w:lineRule="exact"/>
              <w:ind w:firstLine="200"/>
              <w:jc w:val="center"/>
              <w:rPr>
                <w:rFonts w:hint="eastAsia" w:ascii="微软雅黑" w:hAnsi="微软雅黑" w:eastAsia="微软雅黑" w:cs="微软雅黑"/>
                <w:sz w:val="20"/>
                <w:szCs w:val="20"/>
              </w:rPr>
            </w:pPr>
          </w:p>
        </w:tc>
        <w:tc>
          <w:tcPr>
            <w:tcW w:w="1774" w:type="dxa"/>
            <w:vAlign w:val="center"/>
          </w:tcPr>
          <w:p>
            <w:pPr>
              <w:numPr>
                <w:ilvl w:val="0"/>
                <w:numId w:val="0"/>
              </w:numPr>
              <w:ind w:left="0" w:leftChars="0" w:firstLine="0" w:firstLineChars="0"/>
              <w:jc w:val="center"/>
              <w:rPr>
                <w:rFonts w:hint="eastAsia" w:ascii="微软雅黑" w:hAnsi="微软雅黑" w:eastAsia="微软雅黑" w:cs="微软雅黑"/>
                <w:sz w:val="20"/>
                <w:szCs w:val="20"/>
              </w:rPr>
            </w:pPr>
            <w:r>
              <w:rPr>
                <w:rFonts w:hint="eastAsia" w:ascii="微软雅黑" w:hAnsi="微软雅黑" w:cs="微软雅黑"/>
                <w:kern w:val="2"/>
                <w:sz w:val="20"/>
                <w:szCs w:val="20"/>
                <w:vertAlign w:val="baseline"/>
                <w:lang w:val="en-US" w:eastAsia="zh-CN" w:bidi="ar-SA"/>
              </w:rPr>
              <w:t>机器人</w:t>
            </w:r>
          </w:p>
        </w:tc>
        <w:tc>
          <w:tcPr>
            <w:tcW w:w="2096" w:type="dxa"/>
            <w:vAlign w:val="center"/>
          </w:tcPr>
          <w:p>
            <w:pPr>
              <w:spacing w:line="360" w:lineRule="exact"/>
              <w:jc w:val="center"/>
              <w:rPr>
                <w:rFonts w:hint="default"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ABB</w:t>
            </w:r>
          </w:p>
        </w:tc>
        <w:tc>
          <w:tcPr>
            <w:tcW w:w="3689" w:type="dxa"/>
            <w:vAlign w:val="center"/>
          </w:tcPr>
          <w:p>
            <w:pPr>
              <w:spacing w:line="360" w:lineRule="exact"/>
              <w:jc w:val="center"/>
              <w:rPr>
                <w:rFonts w:hint="default" w:ascii="微软雅黑" w:hAnsi="微软雅黑" w:eastAsia="微软雅黑" w:cs="微软雅黑"/>
                <w:sz w:val="20"/>
                <w:szCs w:val="20"/>
                <w:lang w:val="en-US" w:eastAsia="zh-CN"/>
              </w:rPr>
            </w:pPr>
            <w:r>
              <w:rPr>
                <w:rFonts w:hint="default" w:ascii="微软雅黑" w:hAnsi="微软雅黑" w:eastAsia="微软雅黑" w:cs="微软雅黑"/>
                <w:sz w:val="20"/>
                <w:szCs w:val="20"/>
                <w:lang w:val="en-US" w:eastAsia="zh-CN"/>
              </w:rPr>
              <w:t>ABB智慧建筑与联塑集团达成战略合作，共筑智慧建筑机电零售市场新格局</w:t>
            </w:r>
            <w:r>
              <w:rPr>
                <w:rFonts w:hint="eastAsia" w:ascii="微软雅黑" w:hAnsi="微软雅黑" w:eastAsia="微软雅黑" w:cs="微软雅黑"/>
                <w:sz w:val="20"/>
                <w:szCs w:val="20"/>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101" w:type="dxa"/>
            <w:vAlign w:val="center"/>
          </w:tcPr>
          <w:p>
            <w:pPr>
              <w:spacing w:line="360" w:lineRule="exact"/>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工业</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电子</w:t>
            </w:r>
          </w:p>
        </w:tc>
        <w:tc>
          <w:tcPr>
            <w:tcW w:w="177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sz w:val="20"/>
                <w:szCs w:val="20"/>
                <w:vertAlign w:val="baseline"/>
                <w:lang w:val="en-US" w:eastAsia="zh-CN"/>
              </w:rPr>
            </w:pPr>
            <w:r>
              <w:rPr>
                <w:rFonts w:hint="eastAsia" w:ascii="微软雅黑" w:hAnsi="微软雅黑" w:eastAsia="微软雅黑" w:cs="微软雅黑"/>
                <w:sz w:val="20"/>
                <w:szCs w:val="20"/>
                <w:vertAlign w:val="baseline"/>
                <w:lang w:val="en-US" w:eastAsia="zh-CN"/>
              </w:rPr>
              <w:t>工业自动化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微软雅黑" w:hAnsi="微软雅黑" w:eastAsia="微软雅黑" w:cs="微软雅黑"/>
                <w:kern w:val="2"/>
                <w:sz w:val="20"/>
                <w:szCs w:val="20"/>
                <w:vertAlign w:val="baseline"/>
                <w:lang w:val="en-US" w:eastAsia="zh-CN" w:bidi="ar-SA"/>
              </w:rPr>
            </w:pPr>
            <w:r>
              <w:rPr>
                <w:rFonts w:hint="eastAsia" w:ascii="微软雅黑" w:hAnsi="微软雅黑" w:eastAsia="微软雅黑" w:cs="微软雅黑"/>
                <w:sz w:val="20"/>
                <w:szCs w:val="20"/>
                <w:vertAlign w:val="baseline"/>
                <w:lang w:val="en-US" w:eastAsia="zh-CN"/>
              </w:rPr>
              <w:t>与控制</w:t>
            </w:r>
          </w:p>
        </w:tc>
        <w:tc>
          <w:tcPr>
            <w:tcW w:w="2096" w:type="dxa"/>
            <w:vAlign w:val="center"/>
          </w:tcPr>
          <w:p>
            <w:pPr>
              <w:spacing w:line="360" w:lineRule="exact"/>
              <w:jc w:val="center"/>
              <w:rPr>
                <w:rFonts w:hint="eastAsia" w:ascii="微软雅黑" w:hAnsi="微软雅黑" w:cs="微软雅黑"/>
                <w:color w:val="auto"/>
                <w:sz w:val="20"/>
                <w:szCs w:val="20"/>
                <w:lang w:val="en-US" w:eastAsia="zh-CN"/>
              </w:rPr>
            </w:pPr>
            <w:r>
              <w:rPr>
                <w:rFonts w:hint="eastAsia" w:ascii="微软雅黑" w:hAnsi="微软雅黑" w:cs="微软雅黑"/>
                <w:color w:val="auto"/>
                <w:sz w:val="20"/>
                <w:szCs w:val="20"/>
                <w:lang w:val="en-US" w:eastAsia="zh-CN"/>
              </w:rPr>
              <w:t>汇川技术</w:t>
            </w:r>
          </w:p>
          <w:p>
            <w:pPr>
              <w:spacing w:line="360" w:lineRule="exact"/>
              <w:jc w:val="center"/>
              <w:rPr>
                <w:rFonts w:hint="default" w:ascii="微软雅黑" w:hAnsi="微软雅黑" w:eastAsia="微软雅黑" w:cs="微软雅黑"/>
                <w:color w:val="auto"/>
                <w:sz w:val="20"/>
                <w:szCs w:val="20"/>
                <w:lang w:val="en-US" w:eastAsia="zh-CN"/>
              </w:rPr>
            </w:pPr>
            <w:r>
              <w:rPr>
                <w:rFonts w:hint="eastAsia" w:ascii="微软雅黑" w:hAnsi="微软雅黑" w:cs="微软雅黑"/>
                <w:color w:val="auto"/>
                <w:sz w:val="20"/>
                <w:szCs w:val="20"/>
                <w:lang w:val="en-US" w:eastAsia="zh-CN"/>
              </w:rPr>
              <w:t>INOVANCE</w:t>
            </w:r>
          </w:p>
        </w:tc>
        <w:tc>
          <w:tcPr>
            <w:tcW w:w="3689" w:type="dxa"/>
            <w:vAlign w:val="center"/>
          </w:tcPr>
          <w:p>
            <w:pPr>
              <w:spacing w:line="360" w:lineRule="exact"/>
              <w:jc w:val="center"/>
              <w:rPr>
                <w:rFonts w:hint="eastAsia" w:ascii="微软雅黑" w:hAnsi="微软雅黑" w:eastAsia="微软雅黑" w:cs="微软雅黑"/>
                <w:sz w:val="20"/>
                <w:szCs w:val="20"/>
                <w:lang w:val="en-US" w:eastAsia="zh-CN"/>
              </w:rPr>
            </w:pPr>
            <w:r>
              <w:rPr>
                <w:rFonts w:hint="default" w:ascii="微软雅黑" w:hAnsi="微软雅黑" w:eastAsia="微软雅黑" w:cs="微软雅黑"/>
                <w:sz w:val="20"/>
                <w:szCs w:val="20"/>
                <w:lang w:val="en-US" w:eastAsia="zh-CN"/>
              </w:rPr>
              <w:t xml:space="preserve"> 汇川技术</w:t>
            </w:r>
            <w:r>
              <w:rPr>
                <w:rFonts w:hint="eastAsia" w:ascii="微软雅黑" w:hAnsi="微软雅黑" w:cs="微软雅黑"/>
                <w:sz w:val="20"/>
                <w:szCs w:val="20"/>
                <w:lang w:val="en-US" w:eastAsia="zh-CN"/>
              </w:rPr>
              <w:t>发布</w:t>
            </w:r>
            <w:r>
              <w:rPr>
                <w:rFonts w:hint="default" w:ascii="微软雅黑" w:hAnsi="微软雅黑" w:eastAsia="微软雅黑" w:cs="微软雅黑"/>
                <w:sz w:val="20"/>
                <w:szCs w:val="20"/>
                <w:lang w:val="en-US" w:eastAsia="zh-CN"/>
              </w:rPr>
              <w:t>FA、运控、传动、机器人四大 IPMT 主任携覆盖 “设计 - 制造 - 传动 - 执行” 的全栈架构登场</w:t>
            </w:r>
            <w:r>
              <w:rPr>
                <w:rFonts w:hint="eastAsia" w:ascii="微软雅黑" w:hAnsi="微软雅黑" w:cs="微软雅黑"/>
                <w:sz w:val="20"/>
                <w:szCs w:val="20"/>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1101" w:type="dxa"/>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汽车</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电子</w:t>
            </w:r>
          </w:p>
        </w:tc>
        <w:tc>
          <w:tcPr>
            <w:tcW w:w="1774" w:type="dxa"/>
            <w:vAlign w:val="center"/>
          </w:tcPr>
          <w:p>
            <w:pPr>
              <w:numPr>
                <w:ilvl w:val="0"/>
                <w:numId w:val="0"/>
              </w:numPr>
              <w:ind w:left="0" w:leftChars="0" w:firstLine="0" w:firstLineChars="0"/>
              <w:jc w:val="center"/>
              <w:rPr>
                <w:rFonts w:hint="default" w:ascii="微软雅黑" w:hAnsi="微软雅黑" w:eastAsia="微软雅黑" w:cs="微软雅黑"/>
                <w:kern w:val="2"/>
                <w:sz w:val="20"/>
                <w:szCs w:val="20"/>
                <w:vertAlign w:val="baseline"/>
                <w:lang w:val="en-US" w:eastAsia="zh-CN" w:bidi="ar-SA"/>
              </w:rPr>
            </w:pPr>
            <w:r>
              <w:rPr>
                <w:rFonts w:hint="eastAsia" w:ascii="微软雅黑" w:hAnsi="微软雅黑" w:cs="微软雅黑"/>
                <w:kern w:val="2"/>
                <w:sz w:val="20"/>
                <w:szCs w:val="20"/>
                <w:vertAlign w:val="baseline"/>
                <w:lang w:val="en-US" w:eastAsia="zh-CN" w:bidi="ar-SA"/>
              </w:rPr>
              <w:t>汽车产业链</w:t>
            </w:r>
          </w:p>
        </w:tc>
        <w:tc>
          <w:tcPr>
            <w:tcW w:w="2096" w:type="dxa"/>
            <w:vAlign w:val="center"/>
          </w:tcPr>
          <w:p>
            <w:pPr>
              <w:spacing w:line="360" w:lineRule="exact"/>
              <w:jc w:val="center"/>
              <w:rPr>
                <w:rFonts w:hint="default" w:ascii="微软雅黑" w:hAnsi="微软雅黑" w:cs="微软雅黑"/>
                <w:color w:val="auto"/>
                <w:sz w:val="20"/>
                <w:szCs w:val="20"/>
                <w:lang w:val="en-US" w:eastAsia="zh-CN"/>
              </w:rPr>
            </w:pPr>
            <w:r>
              <w:rPr>
                <w:rFonts w:hint="eastAsia" w:ascii="微软雅黑" w:hAnsi="微软雅黑" w:cs="微软雅黑"/>
                <w:color w:val="auto"/>
                <w:sz w:val="20"/>
                <w:szCs w:val="20"/>
                <w:lang w:val="en-US" w:eastAsia="zh-CN"/>
              </w:rPr>
              <w:t>长城汽车</w:t>
            </w:r>
          </w:p>
          <w:p>
            <w:pPr>
              <w:spacing w:line="360" w:lineRule="exact"/>
              <w:jc w:val="center"/>
              <w:rPr>
                <w:rFonts w:hint="default" w:ascii="微软雅黑" w:hAnsi="微软雅黑" w:cs="微软雅黑"/>
                <w:color w:val="auto"/>
                <w:sz w:val="20"/>
                <w:szCs w:val="20"/>
                <w:lang w:val="en-US" w:eastAsia="zh-CN"/>
              </w:rPr>
            </w:pPr>
            <w:r>
              <w:rPr>
                <w:rFonts w:hint="eastAsia" w:ascii="微软雅黑" w:hAnsi="微软雅黑" w:cs="微软雅黑"/>
                <w:color w:val="auto"/>
                <w:sz w:val="20"/>
                <w:szCs w:val="20"/>
                <w:lang w:val="en-US" w:eastAsia="zh-CN"/>
              </w:rPr>
              <w:t>GWM</w:t>
            </w:r>
          </w:p>
        </w:tc>
        <w:tc>
          <w:tcPr>
            <w:tcW w:w="3689" w:type="dxa"/>
            <w:vAlign w:val="center"/>
          </w:tcPr>
          <w:p>
            <w:pPr>
              <w:spacing w:line="360" w:lineRule="exact"/>
              <w:jc w:val="center"/>
              <w:rPr>
                <w:rFonts w:hint="eastAsia" w:ascii="微软雅黑" w:hAnsi="微软雅黑" w:eastAsia="微软雅黑" w:cs="微软雅黑"/>
                <w:sz w:val="20"/>
                <w:szCs w:val="20"/>
                <w:lang w:val="en-US" w:eastAsia="zh-CN"/>
              </w:rPr>
            </w:pPr>
            <w:r>
              <w:rPr>
                <w:rFonts w:hint="default" w:ascii="微软雅黑" w:hAnsi="微软雅黑" w:eastAsia="微软雅黑" w:cs="微软雅黑"/>
                <w:sz w:val="20"/>
                <w:szCs w:val="20"/>
                <w:lang w:val="en-US" w:eastAsia="zh-CN"/>
              </w:rPr>
              <w:t>长城V6火炮正式上市，新车定位为赛级性能皮卡</w:t>
            </w:r>
            <w:r>
              <w:rPr>
                <w:rFonts w:hint="eastAsia" w:ascii="微软雅黑" w:hAnsi="微软雅黑" w:cs="微软雅黑"/>
                <w:sz w:val="20"/>
                <w:szCs w:val="20"/>
                <w:lang w:val="en-US" w:eastAsia="zh-CN"/>
              </w:rPr>
              <w:t>，</w:t>
            </w:r>
            <w:r>
              <w:rPr>
                <w:rFonts w:hint="default" w:ascii="微软雅黑" w:hAnsi="微软雅黑" w:eastAsia="微软雅黑" w:cs="微软雅黑"/>
                <w:sz w:val="20"/>
                <w:szCs w:val="20"/>
                <w:lang w:val="en-US" w:eastAsia="zh-CN"/>
              </w:rPr>
              <w:t>搭载3.0T V6双涡轮动力。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1101" w:type="dxa"/>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通信</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电子</w:t>
            </w:r>
          </w:p>
        </w:tc>
        <w:tc>
          <w:tcPr>
            <w:tcW w:w="1774" w:type="dxa"/>
            <w:vAlign w:val="center"/>
          </w:tcPr>
          <w:p>
            <w:pPr>
              <w:numPr>
                <w:ilvl w:val="0"/>
                <w:numId w:val="0"/>
              </w:numPr>
              <w:ind w:left="0" w:leftChars="0" w:firstLine="0" w:firstLineChars="0"/>
              <w:jc w:val="center"/>
              <w:rPr>
                <w:rFonts w:hint="eastAsia" w:ascii="微软雅黑" w:hAnsi="微软雅黑" w:eastAsia="微软雅黑" w:cs="微软雅黑"/>
                <w:kern w:val="2"/>
                <w:sz w:val="20"/>
                <w:szCs w:val="20"/>
                <w:vertAlign w:val="baseline"/>
                <w:lang w:val="en-US" w:eastAsia="zh-CN" w:bidi="ar-SA"/>
              </w:rPr>
            </w:pPr>
            <w:r>
              <w:rPr>
                <w:rFonts w:hint="eastAsia" w:ascii="微软雅黑" w:hAnsi="微软雅黑" w:eastAsia="微软雅黑" w:cs="微软雅黑"/>
                <w:sz w:val="20"/>
                <w:szCs w:val="20"/>
                <w:vertAlign w:val="baseline"/>
                <w:lang w:val="en-US" w:eastAsia="zh-CN"/>
              </w:rPr>
              <w:t>通信网络</w:t>
            </w:r>
          </w:p>
        </w:tc>
        <w:tc>
          <w:tcPr>
            <w:tcW w:w="2096" w:type="dxa"/>
            <w:vAlign w:val="center"/>
          </w:tcPr>
          <w:p>
            <w:pPr>
              <w:spacing w:line="360" w:lineRule="exact"/>
              <w:jc w:val="center"/>
              <w:rPr>
                <w:rFonts w:hint="default" w:ascii="微软雅黑" w:hAnsi="微软雅黑" w:eastAsia="微软雅黑" w:cs="微软雅黑"/>
                <w:color w:val="auto"/>
                <w:sz w:val="20"/>
                <w:szCs w:val="20"/>
                <w:lang w:val="en-US" w:eastAsia="zh-CN"/>
              </w:rPr>
            </w:pPr>
            <w:r>
              <w:rPr>
                <w:rFonts w:hint="eastAsia" w:ascii="微软雅黑" w:hAnsi="微软雅黑" w:cs="微软雅黑"/>
                <w:color w:val="auto"/>
                <w:sz w:val="20"/>
                <w:szCs w:val="20"/>
                <w:lang w:val="en-US" w:eastAsia="zh-CN"/>
              </w:rPr>
              <w:t>中国联通</w:t>
            </w:r>
          </w:p>
          <w:p>
            <w:pPr>
              <w:spacing w:line="360" w:lineRule="exact"/>
              <w:jc w:val="center"/>
              <w:rPr>
                <w:rFonts w:hint="default" w:ascii="微软雅黑" w:hAnsi="微软雅黑" w:eastAsia="微软雅黑" w:cs="微软雅黑"/>
                <w:color w:val="auto"/>
                <w:sz w:val="20"/>
                <w:szCs w:val="20"/>
                <w:lang w:val="en-US" w:eastAsia="zh-CN"/>
              </w:rPr>
            </w:pPr>
            <w:r>
              <w:rPr>
                <w:rFonts w:hint="default" w:ascii="微软雅黑" w:hAnsi="微软雅黑" w:cs="微软雅黑"/>
                <w:color w:val="auto"/>
                <w:sz w:val="20"/>
                <w:szCs w:val="20"/>
                <w:lang w:val="en-US" w:eastAsia="zh-CN"/>
              </w:rPr>
              <w:t>China unicom</w:t>
            </w:r>
          </w:p>
        </w:tc>
        <w:tc>
          <w:tcPr>
            <w:tcW w:w="3689" w:type="dxa"/>
            <w:vAlign w:val="center"/>
          </w:tcPr>
          <w:p>
            <w:pPr>
              <w:spacing w:line="360" w:lineRule="exact"/>
              <w:jc w:val="center"/>
              <w:rPr>
                <w:rFonts w:hint="eastAsia" w:ascii="微软雅黑" w:hAnsi="微软雅黑" w:eastAsia="微软雅黑" w:cs="微软雅黑"/>
                <w:sz w:val="20"/>
                <w:szCs w:val="20"/>
                <w:lang w:val="en-US" w:eastAsia="zh-CN"/>
              </w:rPr>
            </w:pPr>
            <w:r>
              <w:rPr>
                <w:rFonts w:hint="default" w:ascii="微软雅黑" w:hAnsi="微软雅黑" w:eastAsia="微软雅黑" w:cs="微软雅黑"/>
                <w:sz w:val="20"/>
                <w:szCs w:val="20"/>
                <w:lang w:val="en-US" w:eastAsia="zh-CN"/>
              </w:rPr>
              <w:t>中国联通是唯一受支持的iPhoneeSIM运营商，苹果公司召开发布会前夕，中国联通旗下的微信公众号“我的eSIM”名称变更为“联通eSIM”</w:t>
            </w:r>
            <w:r>
              <w:rPr>
                <w:rFonts w:hint="eastAsia" w:ascii="微软雅黑" w:hAnsi="微软雅黑" w:cs="微软雅黑"/>
                <w:sz w:val="20"/>
                <w:szCs w:val="20"/>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1101" w:type="dxa"/>
            <w:vAlign w:val="center"/>
          </w:tcPr>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医疗</w:t>
            </w:r>
          </w:p>
          <w:p>
            <w:pPr>
              <w:spacing w:line="360" w:lineRule="exact"/>
              <w:jc w:val="center"/>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电子</w:t>
            </w:r>
          </w:p>
        </w:tc>
        <w:tc>
          <w:tcPr>
            <w:tcW w:w="1774" w:type="dxa"/>
            <w:vAlign w:val="center"/>
          </w:tcPr>
          <w:p>
            <w:pPr>
              <w:numPr>
                <w:ilvl w:val="0"/>
                <w:numId w:val="0"/>
              </w:numPr>
              <w:ind w:left="0" w:leftChars="0" w:firstLine="0" w:firstLineChars="0"/>
              <w:jc w:val="center"/>
              <w:rPr>
                <w:rFonts w:hint="eastAsia" w:ascii="微软雅黑" w:hAnsi="微软雅黑" w:eastAsia="微软雅黑" w:cs="微软雅黑"/>
                <w:sz w:val="20"/>
                <w:szCs w:val="20"/>
                <w:vertAlign w:val="baseline"/>
                <w:lang w:val="en-US" w:eastAsia="zh-CN"/>
              </w:rPr>
            </w:pPr>
            <w:r>
              <w:rPr>
                <w:rFonts w:hint="eastAsia" w:ascii="微软雅黑" w:hAnsi="微软雅黑" w:eastAsia="微软雅黑" w:cs="微软雅黑"/>
                <w:sz w:val="20"/>
                <w:szCs w:val="20"/>
                <w:vertAlign w:val="baseline"/>
                <w:lang w:val="en-US" w:eastAsia="zh-CN"/>
              </w:rPr>
              <w:t>医疗设备</w:t>
            </w:r>
          </w:p>
        </w:tc>
        <w:tc>
          <w:tcPr>
            <w:tcW w:w="2096" w:type="dxa"/>
            <w:vAlign w:val="center"/>
          </w:tcPr>
          <w:p>
            <w:pPr>
              <w:spacing w:line="360" w:lineRule="exact"/>
              <w:jc w:val="center"/>
              <w:rPr>
                <w:rFonts w:hint="default" w:ascii="微软雅黑" w:hAnsi="微软雅黑" w:cs="微软雅黑"/>
                <w:sz w:val="20"/>
                <w:szCs w:val="20"/>
                <w:lang w:val="en-US" w:eastAsia="zh-CN"/>
              </w:rPr>
            </w:pPr>
            <w:r>
              <w:rPr>
                <w:rFonts w:hint="default" w:ascii="微软雅黑" w:hAnsi="微软雅黑" w:cs="微软雅黑"/>
                <w:sz w:val="20"/>
                <w:szCs w:val="20"/>
                <w:lang w:val="en-US" w:eastAsia="zh-CN"/>
              </w:rPr>
              <w:t>飞利浦</w:t>
            </w:r>
          </w:p>
          <w:p>
            <w:pPr>
              <w:spacing w:line="360" w:lineRule="exact"/>
              <w:jc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P</w:t>
            </w:r>
            <w:r>
              <w:rPr>
                <w:rFonts w:hint="default" w:ascii="微软雅黑" w:hAnsi="微软雅黑" w:cs="微软雅黑"/>
                <w:sz w:val="20"/>
                <w:szCs w:val="20"/>
                <w:lang w:val="en-US" w:eastAsia="zh-CN"/>
              </w:rPr>
              <w:t>hilips</w:t>
            </w:r>
          </w:p>
        </w:tc>
        <w:tc>
          <w:tcPr>
            <w:tcW w:w="3689" w:type="dxa"/>
            <w:vAlign w:val="center"/>
          </w:tcPr>
          <w:p>
            <w:pPr>
              <w:spacing w:line="360" w:lineRule="exact"/>
              <w:jc w:val="center"/>
              <w:rPr>
                <w:rFonts w:hint="default" w:ascii="微软雅黑" w:hAnsi="微软雅黑" w:eastAsia="微软雅黑" w:cs="微软雅黑"/>
                <w:sz w:val="20"/>
                <w:szCs w:val="20"/>
                <w:lang w:val="en-US" w:eastAsia="zh-CN"/>
              </w:rPr>
            </w:pPr>
            <w:r>
              <w:rPr>
                <w:rFonts w:hint="default" w:ascii="微软雅黑" w:hAnsi="微软雅黑" w:eastAsia="微软雅黑" w:cs="微软雅黑"/>
                <w:sz w:val="20"/>
                <w:szCs w:val="20"/>
                <w:lang w:val="en-US" w:eastAsia="zh-CN"/>
              </w:rPr>
              <w:t>飞利浦&amp;Masimo宣布创新合作，推进患者监护测量技术</w:t>
            </w:r>
          </w:p>
        </w:tc>
      </w:tr>
    </w:tbl>
    <w:p>
      <w:pPr>
        <w:rPr>
          <w:rFonts w:hint="eastAsia"/>
        </w:rPr>
      </w:pPr>
      <w:bookmarkStart w:id="12" w:name="_Toc182324544"/>
    </w:p>
    <w:p>
      <w:pPr>
        <w:pStyle w:val="3"/>
        <w:keepNext/>
        <w:keepLines/>
        <w:pageBreakBefore w:val="0"/>
        <w:widowControl w:val="0"/>
        <w:numPr>
          <w:ilvl w:val="0"/>
          <w:numId w:val="0"/>
        </w:numPr>
        <w:kinsoku/>
        <w:wordWrap/>
        <w:overflowPunct/>
        <w:topLinePunct w:val="0"/>
        <w:autoSpaceDE/>
        <w:autoSpaceDN/>
        <w:bidi w:val="0"/>
        <w:adjustRightInd/>
        <w:snapToGrid/>
        <w:spacing w:before="0" w:line="440" w:lineRule="exact"/>
        <w:ind w:leftChars="0"/>
        <w:textAlignment w:val="auto"/>
        <w:rPr>
          <w:rFonts w:hint="eastAsia" w:ascii="微软雅黑" w:hAnsi="微软雅黑" w:eastAsia="微软雅黑" w:cs="微软雅黑"/>
        </w:rPr>
      </w:pPr>
      <w:bookmarkStart w:id="13" w:name="_Toc826"/>
      <w:r>
        <w:rPr>
          <w:rFonts w:hint="eastAsia" w:ascii="微软雅黑" w:hAnsi="微软雅黑" w:eastAsia="微软雅黑" w:cs="微软雅黑"/>
        </w:rPr>
        <w:t>（一）人工智能</w:t>
      </w:r>
      <w:bookmarkEnd w:id="12"/>
      <w:bookmarkEnd w:id="13"/>
    </w:p>
    <w:p>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420" w:leftChars="0" w:hanging="420" w:firstLineChars="0"/>
        <w:textAlignment w:val="auto"/>
        <w:rPr>
          <w:rFonts w:hint="default" w:ascii="微软雅黑" w:hAnsi="微软雅黑" w:eastAsia="微软雅黑" w:cs="微软雅黑"/>
          <w:color w:val="auto"/>
          <w:lang w:val="en-US" w:eastAsia="zh-CN"/>
        </w:rPr>
      </w:pPr>
      <w:r>
        <w:rPr>
          <w:rFonts w:hint="eastAsia" w:ascii="微软雅黑" w:hAnsi="微软雅黑" w:cs="微软雅黑"/>
          <w:b/>
          <w:bCs/>
          <w:color w:val="auto"/>
          <w:sz w:val="22"/>
          <w:szCs w:val="22"/>
          <w:lang w:val="en-US" w:eastAsia="zh-CN"/>
        </w:rPr>
        <w:t>AI芯片初创公司Groq融资狂吸7.5亿美元</w:t>
      </w:r>
    </w:p>
    <w:p>
      <w:pPr>
        <w:numPr>
          <w:ilvl w:val="0"/>
          <w:numId w:val="0"/>
        </w:numPr>
        <w:spacing w:line="480" w:lineRule="exact"/>
        <w:ind w:leftChars="0" w:firstLine="440" w:firstLineChars="200"/>
        <w:rPr>
          <w:rFonts w:hint="default" w:ascii="微软雅黑" w:hAnsi="微软雅黑" w:cs="微软雅黑"/>
          <w:b w:val="0"/>
          <w:bCs w:val="0"/>
          <w:color w:val="auto"/>
          <w:sz w:val="22"/>
          <w:szCs w:val="28"/>
          <w:lang w:val="en-US" w:eastAsia="zh-CN"/>
        </w:rPr>
      </w:pPr>
      <w:r>
        <w:rPr>
          <w:rFonts w:hint="eastAsia" w:ascii="微软雅黑" w:hAnsi="微软雅黑" w:cs="微软雅黑"/>
          <w:b w:val="0"/>
          <w:bCs w:val="0"/>
          <w:color w:val="auto"/>
          <w:sz w:val="22"/>
          <w:szCs w:val="28"/>
          <w:lang w:val="en-US" w:eastAsia="zh-CN"/>
        </w:rPr>
        <w:t>9 月17 日</w:t>
      </w:r>
      <w:r>
        <w:rPr>
          <w:rFonts w:hint="default" w:ascii="微软雅黑" w:hAnsi="微软雅黑" w:cs="微软雅黑"/>
          <w:b w:val="0"/>
          <w:bCs w:val="0"/>
          <w:color w:val="auto"/>
          <w:sz w:val="22"/>
          <w:szCs w:val="28"/>
          <w:lang w:val="en-US" w:eastAsia="zh-CN"/>
        </w:rPr>
        <w:t>，</w:t>
      </w:r>
      <w:r>
        <w:rPr>
          <w:rFonts w:hint="eastAsia" w:ascii="微软雅黑" w:hAnsi="微软雅黑" w:cs="微软雅黑"/>
          <w:b w:val="0"/>
          <w:bCs w:val="0"/>
          <w:color w:val="auto"/>
          <w:sz w:val="22"/>
          <w:szCs w:val="28"/>
          <w:lang w:val="en-US" w:eastAsia="zh-CN"/>
        </w:rPr>
        <w:t>据路透社报道，在华尔街大举押注AI硬件的背景下，芯片初创公司Groq于17日宣布，在最新一轮融资中筹集了7.5亿美元，融资后估值达到69亿美元，本轮融资由Disruptive领投、路博迈、德国电信旗下风投公司DTCP等“重大投资”方参与，现有投资者三星、D1、Altimeter也继续参与了融资。据悉，这笔资金将用于扩大数据中心规模，Groq计划今年宣布其在亚太地区的首个布局点。</w:t>
      </w:r>
    </w:p>
    <w:p>
      <w:pPr>
        <w:keepNext w:val="0"/>
        <w:keepLines w:val="0"/>
        <w:pageBreakBefore w:val="0"/>
        <w:widowControl w:val="0"/>
        <w:numPr>
          <w:ilvl w:val="0"/>
          <w:numId w:val="6"/>
        </w:numPr>
        <w:kinsoku/>
        <w:wordWrap/>
        <w:overflowPunct/>
        <w:topLinePunct w:val="0"/>
        <w:autoSpaceDE/>
        <w:autoSpaceDN/>
        <w:bidi w:val="0"/>
        <w:adjustRightInd/>
        <w:snapToGrid/>
        <w:spacing w:before="313" w:beforeLines="100" w:line="440" w:lineRule="exact"/>
        <w:ind w:left="420" w:leftChars="0" w:hanging="420" w:firstLineChars="0"/>
        <w:textAlignment w:val="auto"/>
        <w:rPr>
          <w:rFonts w:hint="eastAsia" w:ascii="微软雅黑" w:hAnsi="微软雅黑" w:eastAsia="微软雅黑" w:cs="微软雅黑"/>
          <w:b/>
          <w:bCs/>
          <w:color w:val="auto"/>
          <w:lang w:val="en-US" w:eastAsia="zh-CN"/>
        </w:rPr>
      </w:pPr>
      <w:r>
        <w:rPr>
          <w:rFonts w:hint="eastAsia" w:ascii="微软雅黑" w:hAnsi="微软雅黑" w:cs="微软雅黑"/>
          <w:b/>
          <w:bCs/>
          <w:color w:val="auto"/>
          <w:lang w:val="en-US" w:eastAsia="zh-CN"/>
        </w:rPr>
        <w:t>英</w:t>
      </w:r>
      <w:r>
        <w:rPr>
          <w:rFonts w:hint="eastAsia" w:ascii="微软雅黑" w:hAnsi="微软雅黑" w:cs="微软雅黑"/>
          <w:b/>
          <w:bCs/>
          <w:color w:val="auto"/>
          <w:sz w:val="22"/>
          <w:szCs w:val="22"/>
          <w:lang w:val="en-US" w:eastAsia="zh-CN"/>
        </w:rPr>
        <w:t>伟达拟投资OpenAI达1000亿美元，</w:t>
      </w:r>
      <w:r>
        <w:rPr>
          <w:rFonts w:hint="eastAsia" w:ascii="微软雅黑" w:hAnsi="微软雅黑" w:cs="微软雅黑"/>
          <w:b/>
          <w:bCs/>
          <w:color w:val="auto"/>
          <w:lang w:val="en-US" w:eastAsia="zh-CN"/>
        </w:rPr>
        <w:t>扩建AI数据中心</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440" w:firstLineChars="200"/>
        <w:textAlignment w:val="auto"/>
        <w:rPr>
          <w:rFonts w:hint="eastAsia" w:ascii="微软雅黑" w:hAnsi="微软雅黑" w:cs="微软雅黑"/>
          <w:color w:val="auto"/>
          <w:lang w:val="en-US" w:eastAsia="zh-CN"/>
        </w:rPr>
      </w:pPr>
      <w:r>
        <w:rPr>
          <w:rFonts w:hint="eastAsia" w:ascii="微软雅黑" w:hAnsi="微软雅黑" w:eastAsia="微软雅黑" w:cs="微软雅黑"/>
          <w:b w:val="0"/>
          <w:bCs w:val="0"/>
          <w:color w:val="auto"/>
          <w:kern w:val="2"/>
          <w:sz w:val="22"/>
          <w:szCs w:val="28"/>
          <w:lang w:val="en-US" w:eastAsia="zh-CN" w:bidi="ar-SA"/>
        </w:rPr>
        <w:t>9月22日，英伟达和OpenAI宣布达成合作，英伟达将向投资最多1000亿美元，以供OpenAI建设并部署至少10吉瓦的AI数据中心，用于训练下一代模型。根据双方的合作协议，OpenAI将部署10GW容量的AI数据中心，配备400万至500万块英伟达GPU，相当于英伟达2025年全年出货量。同时，英伟达采用分阶段投资模式：首个1GW数据中心预计2026年下半年上线（基于Vera Rubin平台），后续按进度追加投资，总额或达千亿美元。</w:t>
      </w:r>
    </w:p>
    <w:p>
      <w:pPr>
        <w:pStyle w:val="3"/>
        <w:keepNext/>
        <w:keepLines/>
        <w:pageBreakBefore w:val="0"/>
        <w:widowControl w:val="0"/>
        <w:numPr>
          <w:ilvl w:val="0"/>
          <w:numId w:val="7"/>
        </w:numPr>
        <w:kinsoku/>
        <w:wordWrap/>
        <w:overflowPunct/>
        <w:topLinePunct w:val="0"/>
        <w:autoSpaceDE/>
        <w:autoSpaceDN/>
        <w:bidi w:val="0"/>
        <w:adjustRightInd/>
        <w:snapToGrid/>
        <w:spacing w:before="380" w:line="440" w:lineRule="exact"/>
        <w:ind w:leftChars="0"/>
        <w:textAlignment w:val="auto"/>
        <w:rPr>
          <w:rFonts w:hint="eastAsia" w:ascii="微软雅黑" w:hAnsi="微软雅黑" w:eastAsia="微软雅黑" w:cs="微软雅黑"/>
          <w:color w:val="auto"/>
          <w:lang w:val="en-US" w:eastAsia="zh-CN"/>
        </w:rPr>
      </w:pPr>
      <w:bookmarkStart w:id="14" w:name="_Toc21211"/>
      <w:r>
        <w:rPr>
          <w:rFonts w:hint="eastAsia" w:ascii="微软雅黑" w:hAnsi="微软雅黑" w:eastAsia="微软雅黑" w:cs="微软雅黑"/>
          <w:color w:val="auto"/>
          <w:lang w:val="en-US" w:eastAsia="zh-CN"/>
        </w:rPr>
        <w:t>新能源</w:t>
      </w:r>
      <w:bookmarkEnd w:id="14"/>
    </w:p>
    <w:p>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420" w:leftChars="0" w:hanging="420" w:firstLineChars="0"/>
        <w:textAlignment w:val="auto"/>
        <w:rPr>
          <w:rFonts w:hint="default" w:ascii="微软雅黑" w:hAnsi="微软雅黑" w:eastAsia="微软雅黑" w:cs="微软雅黑"/>
          <w:b/>
          <w:bCs/>
          <w:color w:val="auto"/>
          <w:lang w:val="en-US" w:eastAsia="zh-CN"/>
        </w:rPr>
      </w:pPr>
      <w:r>
        <w:rPr>
          <w:rFonts w:hint="eastAsia" w:ascii="微软雅黑" w:hAnsi="微软雅黑" w:eastAsia="微软雅黑" w:cs="微软雅黑"/>
          <w:b/>
          <w:bCs/>
          <w:color w:val="auto"/>
          <w:lang w:val="en-US" w:eastAsia="zh-CN"/>
        </w:rPr>
        <w:t>阳光电源拟在</w:t>
      </w:r>
      <w:r>
        <w:rPr>
          <w:rFonts w:hint="eastAsia" w:ascii="微软雅黑" w:hAnsi="微软雅黑" w:cs="微软雅黑"/>
          <w:b/>
          <w:bCs/>
          <w:color w:val="auto"/>
          <w:lang w:val="en-US" w:eastAsia="zh-CN"/>
        </w:rPr>
        <w:t>埃及建设10GW储能电池工厂</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lang w:val="en-US" w:eastAsia="zh-CN"/>
        </w:rPr>
      </w:pPr>
      <w:r>
        <w:rPr>
          <w:rFonts w:hint="eastAsia" w:ascii="微软雅黑" w:hAnsi="微软雅黑" w:eastAsia="微软雅黑" w:cs="微软雅黑"/>
          <w:color w:val="auto"/>
          <w:lang w:val="en-US" w:eastAsia="zh-CN"/>
        </w:rPr>
        <w:t>9月14日，阳光电源计划在埃及建立一座年产能达10GW的储能电池工厂。该计划将直接助力埃及实现新能源及可再生能源产业链本土化的战略目标。对阳光电源而言，这是其全球布局的关键一步。2025年上半年，公司储能系统收入达178.03亿元，同比激增127.78%，营收占比升至40.89%，首次超过光伏逆变器业务。</w:t>
      </w:r>
    </w:p>
    <w:p>
      <w:pPr>
        <w:keepNext w:val="0"/>
        <w:keepLines w:val="0"/>
        <w:pageBreakBefore w:val="0"/>
        <w:widowControl w:val="0"/>
        <w:numPr>
          <w:ilvl w:val="0"/>
          <w:numId w:val="8"/>
        </w:numPr>
        <w:kinsoku/>
        <w:wordWrap/>
        <w:overflowPunct/>
        <w:topLinePunct w:val="0"/>
        <w:autoSpaceDE/>
        <w:autoSpaceDN/>
        <w:bidi w:val="0"/>
        <w:adjustRightInd/>
        <w:snapToGrid/>
        <w:spacing w:before="313" w:beforeLines="100" w:line="440" w:lineRule="exact"/>
        <w:ind w:left="420" w:leftChars="0" w:hanging="420" w:firstLineChars="0"/>
        <w:textAlignment w:val="auto"/>
        <w:rPr>
          <w:rFonts w:hint="eastAsia" w:ascii="微软雅黑" w:hAnsi="微软雅黑" w:eastAsia="微软雅黑" w:cs="微软雅黑"/>
          <w:b/>
          <w:bCs/>
          <w:color w:val="auto"/>
          <w:lang w:val="en-US" w:eastAsia="zh-CN"/>
        </w:rPr>
      </w:pPr>
      <w:r>
        <w:rPr>
          <w:rFonts w:hint="eastAsia" w:ascii="微软雅黑" w:hAnsi="微软雅黑" w:cs="微软雅黑"/>
          <w:b/>
          <w:bCs/>
          <w:color w:val="auto"/>
          <w:lang w:val="en-US" w:eastAsia="zh-CN"/>
        </w:rPr>
        <w:t>特斯拉获准在亚利桑那州进行自动驾驶汽车测试</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40" w:firstLineChars="200"/>
        <w:textAlignment w:val="auto"/>
        <w:rPr>
          <w:rFonts w:hint="eastAsia"/>
          <w:lang w:val="en-US" w:eastAsia="zh-CN"/>
        </w:rPr>
      </w:pPr>
      <w:r>
        <w:rPr>
          <w:rFonts w:hint="eastAsia" w:ascii="微软雅黑" w:hAnsi="微软雅黑" w:cs="微软雅黑"/>
          <w:color w:val="auto"/>
          <w:lang w:val="en-US" w:eastAsia="zh-CN"/>
        </w:rPr>
        <w:t>9月20日，特斯拉据悉已获准在亚利桑那州开始测试配备安全监控器的自动驾驶汽车，这是特斯拉将其自动驾驶出租车业务扩展到奥斯汀以外城市和州的关键一步。此前，特斯拉已获准在德克萨斯州和内华达州开展自动驾驶汽车测试。今年6月，特斯拉在奥斯汀首次向一小部分早期用户推出了这项期待已久的自动驾驶服务。</w:t>
      </w:r>
    </w:p>
    <w:p>
      <w:pPr>
        <w:pStyle w:val="3"/>
        <w:keepNext/>
        <w:keepLines/>
        <w:pageBreakBefore w:val="0"/>
        <w:widowControl w:val="0"/>
        <w:numPr>
          <w:ilvl w:val="0"/>
          <w:numId w:val="7"/>
        </w:numPr>
        <w:kinsoku/>
        <w:wordWrap/>
        <w:overflowPunct/>
        <w:topLinePunct w:val="0"/>
        <w:autoSpaceDE/>
        <w:autoSpaceDN/>
        <w:bidi w:val="0"/>
        <w:adjustRightInd/>
        <w:snapToGrid/>
        <w:spacing w:before="380" w:line="440" w:lineRule="exact"/>
        <w:ind w:leftChars="0"/>
        <w:textAlignment w:val="auto"/>
        <w:rPr>
          <w:rFonts w:hint="eastAsia" w:ascii="微软雅黑" w:hAnsi="微软雅黑" w:eastAsia="微软雅黑" w:cs="微软雅黑"/>
          <w:color w:val="auto"/>
          <w:lang w:val="en-US" w:eastAsia="zh-CN"/>
        </w:rPr>
      </w:pPr>
      <w:bookmarkStart w:id="15" w:name="_Toc21130"/>
      <w:r>
        <w:rPr>
          <w:rFonts w:hint="eastAsia" w:ascii="微软雅黑" w:hAnsi="微软雅黑" w:eastAsia="微软雅黑" w:cs="微软雅黑"/>
          <w:color w:val="auto"/>
          <w:lang w:val="en-US" w:eastAsia="zh-CN"/>
        </w:rPr>
        <w:t>消费电子</w:t>
      </w:r>
      <w:bookmarkEnd w:id="15"/>
    </w:p>
    <w:p>
      <w:pPr>
        <w:pageBreakBefore w:val="0"/>
        <w:widowControl w:val="0"/>
        <w:numPr>
          <w:ilvl w:val="0"/>
          <w:numId w:val="9"/>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b/>
          <w:bCs/>
          <w:color w:val="auto"/>
          <w:lang w:val="en-US" w:eastAsia="zh-CN"/>
        </w:rPr>
      </w:pPr>
      <w:r>
        <w:rPr>
          <w:rFonts w:hint="eastAsia" w:ascii="微软雅黑" w:hAnsi="微软雅黑" w:cs="微软雅黑"/>
          <w:b/>
          <w:bCs/>
          <w:color w:val="auto"/>
          <w:lang w:val="en-US" w:eastAsia="zh-CN"/>
        </w:rPr>
        <w:t>苹果秋季发布会如期推出iPhone17系列</w:t>
      </w:r>
    </w:p>
    <w:p>
      <w:pPr>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9月10日凌晨，万众期待的苹果秋季发布会如期举行。本次发布会上，苹果发布了AirPods Pro 3、三款Apple Watch，以及四款iPhone 17系列——包括iPhone 17、iPhone Air、iPhone 17 Pro和iPhone 17 Pro Max，新机的起售价分别为5999元、7999元、8999元和9999元。</w:t>
      </w:r>
    </w:p>
    <w:p>
      <w:pPr>
        <w:keepNext w:val="0"/>
        <w:keepLines w:val="0"/>
        <w:pageBreakBefore w:val="0"/>
        <w:widowControl w:val="0"/>
        <w:numPr>
          <w:ilvl w:val="0"/>
          <w:numId w:val="9"/>
        </w:numPr>
        <w:kinsoku/>
        <w:wordWrap/>
        <w:overflowPunct/>
        <w:topLinePunct w:val="0"/>
        <w:autoSpaceDE/>
        <w:autoSpaceDN/>
        <w:bidi w:val="0"/>
        <w:adjustRightInd/>
        <w:snapToGrid/>
        <w:spacing w:before="313" w:beforeLines="100" w:line="440" w:lineRule="exact"/>
        <w:ind w:left="420" w:leftChars="0" w:hanging="420" w:firstLineChars="0"/>
        <w:textAlignment w:val="auto"/>
        <w:rPr>
          <w:rFonts w:hint="default" w:ascii="微软雅黑" w:hAnsi="微软雅黑" w:eastAsia="微软雅黑" w:cs="微软雅黑"/>
          <w:b/>
          <w:bCs/>
          <w:color w:val="auto"/>
          <w:lang w:val="en-US" w:eastAsia="zh-CN"/>
        </w:rPr>
      </w:pPr>
      <w:r>
        <w:rPr>
          <w:rFonts w:hint="eastAsia" w:ascii="微软雅黑" w:hAnsi="微软雅黑" w:cs="微软雅黑"/>
          <w:b/>
          <w:bCs/>
          <w:color w:val="auto"/>
          <w:lang w:val="en-US" w:eastAsia="zh-CN"/>
        </w:rPr>
        <w:t>ABB智慧建筑与联塑集团达成战略合作</w:t>
      </w:r>
    </w:p>
    <w:p>
      <w:pPr>
        <w:pageBreakBefore w:val="0"/>
        <w:widowControl w:val="0"/>
        <w:numPr>
          <w:ilvl w:val="0"/>
          <w:numId w:val="0"/>
        </w:numPr>
        <w:kinsoku/>
        <w:wordWrap/>
        <w:overflowPunct/>
        <w:topLinePunct w:val="0"/>
        <w:autoSpaceDE/>
        <w:autoSpaceDN/>
        <w:bidi w:val="0"/>
        <w:adjustRightInd/>
        <w:snapToGrid/>
        <w:spacing w:line="440" w:lineRule="exact"/>
        <w:ind w:leftChars="0" w:firstLine="440" w:firstLineChars="200"/>
        <w:textAlignment w:val="auto"/>
        <w:rPr>
          <w:rFonts w:hint="default" w:ascii="微软雅黑" w:hAnsi="微软雅黑" w:eastAsia="微软雅黑" w:cs="微软雅黑"/>
          <w:color w:val="auto"/>
          <w:lang w:val="en-US" w:eastAsia="zh-CN"/>
        </w:rPr>
      </w:pPr>
      <w:bookmarkStart w:id="16" w:name="OLE_LINK1"/>
      <w:r>
        <w:rPr>
          <w:rFonts w:hint="eastAsia" w:ascii="微软雅黑" w:hAnsi="微软雅黑" w:eastAsia="微软雅黑" w:cs="微软雅黑"/>
          <w:color w:val="auto"/>
          <w:lang w:val="en-US" w:eastAsia="zh-CN"/>
        </w:rPr>
        <w:t>9月16日下午，ABB智慧建筑与中国联塑集团在广东佛山举行战略合作协议签约仪式。双方围绕ABB品牌微型断路器、开关插座及旗下西门子品牌开关插座产品，在销售网络、渠道建设与市场推广等方面展开深度合作，共同推动智慧建筑产品在机电零售市场的广泛应用。</w:t>
      </w:r>
    </w:p>
    <w:bookmarkEnd w:id="16"/>
    <w:p>
      <w:pPr>
        <w:pStyle w:val="3"/>
        <w:pageBreakBefore w:val="0"/>
        <w:widowControl w:val="0"/>
        <w:numPr>
          <w:ilvl w:val="0"/>
          <w:numId w:val="7"/>
        </w:numPr>
        <w:kinsoku/>
        <w:wordWrap/>
        <w:overflowPunct/>
        <w:topLinePunct w:val="0"/>
        <w:autoSpaceDE/>
        <w:autoSpaceDN/>
        <w:bidi w:val="0"/>
        <w:adjustRightInd/>
        <w:snapToGrid/>
        <w:spacing w:line="440" w:lineRule="exact"/>
        <w:ind w:leftChars="0"/>
        <w:textAlignment w:val="auto"/>
        <w:rPr>
          <w:rFonts w:hint="eastAsia" w:ascii="微软雅黑" w:hAnsi="微软雅黑" w:eastAsia="微软雅黑" w:cs="微软雅黑"/>
          <w:color w:val="auto"/>
          <w:lang w:val="en-US" w:eastAsia="zh-CN"/>
        </w:rPr>
      </w:pPr>
      <w:bookmarkStart w:id="17" w:name="_Toc11062"/>
      <w:r>
        <w:rPr>
          <w:rFonts w:hint="eastAsia" w:ascii="微软雅黑" w:hAnsi="微软雅黑" w:eastAsia="微软雅黑" w:cs="微软雅黑"/>
          <w:color w:val="auto"/>
          <w:lang w:val="en-US" w:eastAsia="zh-CN"/>
        </w:rPr>
        <w:t>工业电子</w:t>
      </w:r>
      <w:bookmarkEnd w:id="17"/>
    </w:p>
    <w:p>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b/>
          <w:bCs/>
          <w:color w:val="auto"/>
          <w:lang w:val="en-US" w:eastAsia="zh-CN"/>
        </w:rPr>
      </w:pPr>
      <w:r>
        <w:rPr>
          <w:rFonts w:hint="eastAsia" w:ascii="微软雅黑" w:hAnsi="微软雅黑" w:cs="微软雅黑"/>
          <w:b/>
          <w:bCs/>
          <w:color w:val="auto"/>
          <w:lang w:val="en-US" w:eastAsia="zh-CN"/>
        </w:rPr>
        <w:t>汇川四大架构重磅发布，重构智能制造底层逻辑</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lang w:val="en-US" w:eastAsia="zh-CN"/>
        </w:rPr>
      </w:pPr>
      <w:r>
        <w:rPr>
          <w:rFonts w:hint="eastAsia" w:ascii="微软雅黑" w:hAnsi="微软雅黑" w:cs="微软雅黑"/>
          <w:color w:val="auto"/>
          <w:lang w:val="en-US" w:eastAsia="zh-CN"/>
        </w:rPr>
        <w:t xml:space="preserve"> 汇川技术9月爆品发布会上，FA、运控、传动、机器人四大 IPMT 主任携覆盖 “设计 - 制造 - 传动 - 执行” 的全栈架构登场。四大架构形成完整闭环：FA 搭数据底座，运控通数据流转，传动供节能动力，机器人落地执行。汇川依托二十多年工控积累，降低智能化门槛，搭配无线产品、防爆伺服等新品，让中国制造智能化从 “奢侈品” 变为 “通行证”。</w:t>
      </w:r>
    </w:p>
    <w:p>
      <w:pPr>
        <w:pStyle w:val="3"/>
        <w:keepNext/>
        <w:keepLines/>
        <w:pageBreakBefore w:val="0"/>
        <w:widowControl w:val="0"/>
        <w:numPr>
          <w:ilvl w:val="0"/>
          <w:numId w:val="7"/>
        </w:numPr>
        <w:kinsoku/>
        <w:wordWrap/>
        <w:overflowPunct/>
        <w:topLinePunct w:val="0"/>
        <w:autoSpaceDE/>
        <w:autoSpaceDN/>
        <w:bidi w:val="0"/>
        <w:adjustRightInd/>
        <w:snapToGrid/>
        <w:spacing w:before="380" w:line="440" w:lineRule="exact"/>
        <w:ind w:leftChars="0"/>
        <w:textAlignment w:val="auto"/>
        <w:rPr>
          <w:rFonts w:hint="eastAsia" w:ascii="微软雅黑" w:hAnsi="微软雅黑" w:eastAsia="微软雅黑" w:cs="微软雅黑"/>
          <w:color w:val="auto"/>
          <w:lang w:val="en-US" w:eastAsia="zh-CN"/>
        </w:rPr>
      </w:pPr>
      <w:bookmarkStart w:id="18" w:name="_Toc28599"/>
      <w:r>
        <w:rPr>
          <w:rFonts w:hint="eastAsia" w:ascii="微软雅黑" w:hAnsi="微软雅黑" w:eastAsia="微软雅黑" w:cs="微软雅黑"/>
          <w:color w:val="auto"/>
          <w:lang w:val="en-US" w:eastAsia="zh-CN"/>
        </w:rPr>
        <w:t>汽车</w:t>
      </w:r>
      <w:bookmarkEnd w:id="18"/>
      <w:r>
        <w:rPr>
          <w:rFonts w:hint="eastAsia" w:ascii="微软雅黑" w:hAnsi="微软雅黑" w:cs="微软雅黑"/>
          <w:color w:val="auto"/>
          <w:lang w:val="en-US" w:eastAsia="zh-CN"/>
        </w:rPr>
        <w:t>产业链</w:t>
      </w:r>
    </w:p>
    <w:p>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b/>
          <w:bCs/>
          <w:color w:val="auto"/>
          <w:lang w:val="en-US" w:eastAsia="zh-CN"/>
        </w:rPr>
      </w:pPr>
      <w:r>
        <w:rPr>
          <w:rFonts w:hint="eastAsia" w:ascii="微软雅黑" w:hAnsi="微软雅黑" w:cs="微软雅黑"/>
          <w:b/>
          <w:bCs/>
          <w:color w:val="auto"/>
          <w:lang w:val="en-US" w:eastAsia="zh-CN"/>
        </w:rPr>
        <w:t>长城V6火炮正式上市，搭载3.0T V6双涡轮动力</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default" w:ascii="微软雅黑" w:hAnsi="微软雅黑" w:eastAsia="微软雅黑" w:cs="微软雅黑"/>
          <w:color w:val="auto"/>
          <w:lang w:val="en-US" w:eastAsia="zh-CN"/>
        </w:rPr>
      </w:pPr>
      <w:r>
        <w:rPr>
          <w:rFonts w:hint="eastAsia" w:ascii="微软雅黑" w:hAnsi="微软雅黑" w:eastAsia="微软雅黑" w:cs="微软雅黑"/>
          <w:color w:val="auto"/>
          <w:lang w:val="en-US" w:eastAsia="zh-CN"/>
        </w:rPr>
        <w:t>9月23日，长城汽车正式宣布V6火炮皮卡上市，新车定位为赛级性能皮卡，搭载3.0T V6双涡轮增压发动机，配备分时四驱系统和前后桥差速锁，主打高强度越野与赛事驾驶场景。V6火炮基于坦克平台打造，车身采用高强钢车架，具备优异的抗扭刚度。其短轴距与轻量化设计（整备质量2285kg）赋予车辆更高灵活性与动力响应速度，在沙漠、岩石等复杂地形中表现尤为突出。</w:t>
      </w:r>
    </w:p>
    <w:p>
      <w:pPr>
        <w:pStyle w:val="3"/>
        <w:keepNext/>
        <w:keepLines/>
        <w:pageBreakBefore w:val="0"/>
        <w:widowControl w:val="0"/>
        <w:numPr>
          <w:ilvl w:val="0"/>
          <w:numId w:val="7"/>
        </w:numPr>
        <w:kinsoku/>
        <w:wordWrap/>
        <w:overflowPunct/>
        <w:topLinePunct w:val="0"/>
        <w:autoSpaceDE/>
        <w:autoSpaceDN/>
        <w:bidi w:val="0"/>
        <w:adjustRightInd/>
        <w:snapToGrid/>
        <w:spacing w:before="380" w:line="440" w:lineRule="exact"/>
        <w:ind w:leftChars="0"/>
        <w:textAlignment w:val="auto"/>
        <w:rPr>
          <w:rFonts w:hint="eastAsia" w:ascii="微软雅黑" w:hAnsi="微软雅黑" w:eastAsia="微软雅黑" w:cs="微软雅黑"/>
          <w:color w:val="auto"/>
          <w:lang w:val="en-US" w:eastAsia="zh-CN"/>
        </w:rPr>
      </w:pPr>
      <w:bookmarkStart w:id="19" w:name="_Toc30107"/>
      <w:bookmarkStart w:id="20" w:name="OLE_LINK4"/>
      <w:r>
        <w:rPr>
          <w:rFonts w:hint="eastAsia" w:ascii="微软雅黑" w:hAnsi="微软雅黑" w:eastAsia="微软雅黑" w:cs="微软雅黑"/>
          <w:color w:val="auto"/>
          <w:lang w:val="en-US" w:eastAsia="zh-CN"/>
        </w:rPr>
        <w:t>通信电子</w:t>
      </w:r>
      <w:bookmarkEnd w:id="19"/>
    </w:p>
    <w:bookmarkEnd w:id="20"/>
    <w:p>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b/>
          <w:bCs/>
          <w:color w:val="auto"/>
          <w:lang w:val="en-US" w:eastAsia="zh-CN"/>
        </w:rPr>
      </w:pPr>
      <w:r>
        <w:rPr>
          <w:rFonts w:hint="eastAsia" w:ascii="微软雅黑" w:hAnsi="微软雅黑" w:cs="微软雅黑"/>
          <w:b/>
          <w:bCs/>
          <w:color w:val="auto"/>
          <w:lang w:val="en-US" w:eastAsia="zh-CN"/>
        </w:rPr>
        <w:t>三大运营商均已布局eSIM手机业务</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9月10日凌晨，苹果召开秋季新品发布会，此次发布的新品中iPhoneAir尤其受到关注，但超薄设计使得iPhoneAir放弃了SIM卡槽，并以eSIM替代。苹果提到，关于中国大陆适用于iPhone的eSIM，中国联通是唯一受支持的iPhoneeSIM运营商。据中国移动相关工作人员透露，公司目前已经支持eSIM手机业务，开放服务时间将另行告知；中国电信相关负责人则向《证券日报》记者表示，中国电信eSIM手机业务已全面准备就绪，预计将于近期获得工业和信息化部商用试验正式批复后，向用户开放eSIM手机业务办理服务，具体开放时间敬请关注。</w:t>
      </w:r>
    </w:p>
    <w:p>
      <w:pPr>
        <w:pStyle w:val="3"/>
        <w:keepNext/>
        <w:keepLines/>
        <w:pageBreakBefore w:val="0"/>
        <w:widowControl w:val="0"/>
        <w:numPr>
          <w:ilvl w:val="0"/>
          <w:numId w:val="7"/>
        </w:numPr>
        <w:kinsoku/>
        <w:wordWrap/>
        <w:overflowPunct/>
        <w:topLinePunct w:val="0"/>
        <w:autoSpaceDE/>
        <w:autoSpaceDN/>
        <w:bidi w:val="0"/>
        <w:adjustRightInd/>
        <w:snapToGrid/>
        <w:spacing w:before="380" w:line="440" w:lineRule="exact"/>
        <w:ind w:leftChars="0"/>
        <w:textAlignment w:val="auto"/>
        <w:rPr>
          <w:rFonts w:hint="eastAsia" w:ascii="微软雅黑" w:hAnsi="微软雅黑" w:eastAsia="微软雅黑" w:cs="微软雅黑"/>
          <w:lang w:val="en-US" w:eastAsia="zh-CN"/>
        </w:rPr>
      </w:pPr>
      <w:bookmarkStart w:id="21" w:name="_Toc27880"/>
      <w:r>
        <w:rPr>
          <w:rFonts w:hint="eastAsia" w:ascii="微软雅黑" w:hAnsi="微软雅黑" w:eastAsia="微软雅黑" w:cs="微软雅黑"/>
          <w:lang w:val="en-US" w:eastAsia="zh-CN"/>
        </w:rPr>
        <w:t>医疗电子</w:t>
      </w:r>
      <w:bookmarkEnd w:id="21"/>
    </w:p>
    <w:p>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b/>
          <w:bCs/>
          <w:lang w:val="en-US" w:eastAsia="zh-CN"/>
        </w:rPr>
      </w:pPr>
      <w:bookmarkStart w:id="22" w:name="OLE_LINK2"/>
      <w:r>
        <w:rPr>
          <w:rFonts w:hint="eastAsia" w:ascii="微软雅黑" w:hAnsi="微软雅黑" w:cs="微软雅黑"/>
          <w:b/>
          <w:bCs/>
          <w:lang w:val="en-US" w:eastAsia="zh-CN"/>
        </w:rPr>
        <w:t>飞利浦&amp;Masimo宣布创新合作，推进患者监护测量技术</w:t>
      </w:r>
    </w:p>
    <w:bookmarkEnd w:id="22"/>
    <w:p>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cs="微软雅黑"/>
          <w:lang w:val="en-US" w:eastAsia="zh-CN"/>
        </w:rPr>
      </w:pPr>
      <w:r>
        <w:rPr>
          <w:rFonts w:hint="eastAsia" w:ascii="微软雅黑" w:hAnsi="微软雅黑" w:cs="微软雅黑"/>
          <w:lang w:val="en-US" w:eastAsia="zh-CN"/>
        </w:rPr>
        <w:t>9月11日，飞利浦和 Masimo宣布，双方已更新多年战略合作关系，标志着长期合作的新篇章。此次核心合作是将 Masimo 的先进监护技术——包括 SET® 脉搏血氧仪、Radius PPG 和一系列传感器技术——集成到飞利浦的多参数患者监护平台中。通过将这些功能嵌入到飞利浦的监护生态系统中，双方旨在降低复杂性，增强互操作性，并提供简化的工具，以支持及时决策和护理的连续性。</w:t>
      </w:r>
    </w:p>
    <w:p>
      <w:pPr>
        <w:rPr>
          <w:rFonts w:hint="eastAsia" w:ascii="微软雅黑" w:hAnsi="微软雅黑" w:eastAsia="微软雅黑" w:cs="微软雅黑"/>
        </w:rPr>
      </w:pPr>
      <w:bookmarkStart w:id="23" w:name="_Toc182324547"/>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pStyle w:val="2"/>
        <w:keepNext/>
        <w:keepLines/>
        <w:pageBreakBefore w:val="0"/>
        <w:widowControl w:val="0"/>
        <w:numPr>
          <w:ilvl w:val="0"/>
          <w:numId w:val="13"/>
        </w:numPr>
        <w:kinsoku/>
        <w:wordWrap/>
        <w:overflowPunct/>
        <w:topLinePunct w:val="0"/>
        <w:autoSpaceDE/>
        <w:autoSpaceDN/>
        <w:bidi w:val="0"/>
        <w:adjustRightInd/>
        <w:snapToGrid/>
        <w:spacing w:line="440" w:lineRule="exact"/>
        <w:ind w:leftChars="0"/>
        <w:textAlignment w:val="auto"/>
        <w:rPr>
          <w:rFonts w:hint="eastAsia" w:ascii="微软雅黑" w:hAnsi="微软雅黑" w:eastAsia="微软雅黑" w:cs="微软雅黑"/>
        </w:rPr>
      </w:pPr>
      <w:bookmarkStart w:id="24" w:name="_Toc8835"/>
      <w:r>
        <w:rPr>
          <w:rFonts w:hint="eastAsia" w:ascii="微软雅黑" w:hAnsi="微软雅黑" w:eastAsia="微软雅黑" w:cs="微软雅黑"/>
        </w:rPr>
        <w:t>重点产品行情</w:t>
      </w:r>
      <w:bookmarkEnd w:id="23"/>
      <w:bookmarkEnd w:id="24"/>
    </w:p>
    <w:p>
      <w:pPr>
        <w:pStyle w:val="3"/>
        <w:keepNext/>
        <w:keepLines/>
        <w:pageBreakBefore w:val="0"/>
        <w:widowControl w:val="0"/>
        <w:numPr>
          <w:ilvl w:val="0"/>
          <w:numId w:val="14"/>
        </w:numPr>
        <w:kinsoku/>
        <w:wordWrap/>
        <w:overflowPunct/>
        <w:topLinePunct w:val="0"/>
        <w:autoSpaceDE/>
        <w:autoSpaceDN/>
        <w:bidi w:val="0"/>
        <w:adjustRightInd/>
        <w:snapToGrid/>
        <w:spacing w:line="400" w:lineRule="exact"/>
        <w:ind w:leftChars="0"/>
        <w:textAlignment w:val="auto"/>
        <w:rPr>
          <w:rFonts w:hint="eastAsia" w:ascii="微软雅黑" w:hAnsi="微软雅黑" w:eastAsia="微软雅黑" w:cs="微软雅黑"/>
          <w:sz w:val="16"/>
          <w:szCs w:val="20"/>
        </w:rPr>
      </w:pPr>
      <w:bookmarkStart w:id="25" w:name="_Toc182324548"/>
      <w:bookmarkStart w:id="26" w:name="_Toc19427"/>
      <w:r>
        <w:rPr>
          <w:rFonts w:hint="eastAsia" w:ascii="微软雅黑" w:hAnsi="微软雅黑" w:eastAsia="微软雅黑" w:cs="微软雅黑"/>
        </w:rPr>
        <w:t>存储芯片</w:t>
      </w:r>
      <w:bookmarkEnd w:id="25"/>
      <w:bookmarkEnd w:id="26"/>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440" w:lineRule="exact"/>
        <w:ind w:firstLine="2201" w:firstLineChars="1000"/>
        <w:jc w:val="both"/>
        <w:textAlignment w:val="auto"/>
        <w:rPr>
          <w:rFonts w:hint="default" w:ascii="微软雅黑" w:hAnsi="微软雅黑" w:eastAsia="微软雅黑" w:cs="微软雅黑"/>
          <w:sz w:val="22"/>
          <w:szCs w:val="28"/>
          <w:lang w:val="en-US" w:eastAsia="zh-CN"/>
        </w:rPr>
      </w:pPr>
      <w:r>
        <w:rPr>
          <w:rFonts w:hint="eastAsia" w:ascii="微软雅黑" w:hAnsi="微软雅黑" w:cs="微软雅黑"/>
          <w:b/>
          <w:bCs/>
          <w:color w:val="73308A"/>
          <w:sz w:val="22"/>
          <w:szCs w:val="28"/>
          <w:lang w:val="en-US" w:eastAsia="zh-CN"/>
        </w:rPr>
        <w:t>2025年9月存储芯片重点产品行情一览</w:t>
      </w:r>
    </w:p>
    <w:tbl>
      <w:tblPr>
        <w:tblStyle w:val="19"/>
        <w:tblW w:w="8158" w:type="dxa"/>
        <w:tblInd w:w="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9"/>
        <w:gridCol w:w="2050"/>
        <w:gridCol w:w="2102"/>
        <w:gridCol w:w="1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099" w:type="dxa"/>
            <w:shd w:val="clear" w:color="auto" w:fill="7030A0"/>
            <w:vAlign w:val="center"/>
          </w:tcPr>
          <w:p>
            <w:pPr>
              <w:spacing w:line="360" w:lineRule="exact"/>
              <w:ind w:firstLine="200"/>
              <w:jc w:val="center"/>
              <w:rPr>
                <w:rFonts w:hint="eastAsia"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cs="微软雅黑"/>
                <w:b/>
                <w:bCs/>
                <w:color w:val="FFFFFF" w:themeColor="background1"/>
                <w:sz w:val="20"/>
                <w:szCs w:val="20"/>
                <w:lang w:val="en-US" w:eastAsia="zh-CN"/>
                <w14:textFill>
                  <w14:solidFill>
                    <w14:schemeClr w14:val="bg1"/>
                  </w14:solidFill>
                </w14:textFill>
              </w:rPr>
              <w:t>产品</w:t>
            </w:r>
          </w:p>
        </w:tc>
        <w:tc>
          <w:tcPr>
            <w:tcW w:w="2050" w:type="dxa"/>
            <w:shd w:val="clear" w:color="auto" w:fill="7030A0"/>
            <w:vAlign w:val="center"/>
          </w:tcPr>
          <w:p>
            <w:pPr>
              <w:spacing w:line="360" w:lineRule="exact"/>
              <w:jc w:val="center"/>
              <w:rPr>
                <w:rFonts w:hint="default"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cs="微软雅黑"/>
                <w:b/>
                <w:bCs/>
                <w:color w:val="FFFFFF" w:themeColor="background1"/>
                <w:sz w:val="20"/>
                <w:szCs w:val="20"/>
                <w:lang w:val="en-US" w:eastAsia="zh-CN"/>
                <w14:textFill>
                  <w14:solidFill>
                    <w14:schemeClr w14:val="bg1"/>
                  </w14:solidFill>
                </w14:textFill>
              </w:rPr>
              <w:t>价格趋势</w:t>
            </w:r>
          </w:p>
        </w:tc>
        <w:tc>
          <w:tcPr>
            <w:tcW w:w="2102" w:type="dxa"/>
            <w:shd w:val="clear" w:color="auto" w:fill="7030A0"/>
            <w:vAlign w:val="center"/>
          </w:tcPr>
          <w:p>
            <w:pPr>
              <w:spacing w:line="360" w:lineRule="exact"/>
              <w:ind w:firstLine="200"/>
              <w:jc w:val="center"/>
              <w:rPr>
                <w:rFonts w:hint="default"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cs="微软雅黑"/>
                <w:b/>
                <w:bCs/>
                <w:color w:val="FFFFFF" w:themeColor="background1"/>
                <w:sz w:val="20"/>
                <w:szCs w:val="20"/>
                <w:lang w:val="en-US" w:eastAsia="zh-CN"/>
                <w14:textFill>
                  <w14:solidFill>
                    <w14:schemeClr w14:val="bg1"/>
                  </w14:solidFill>
                </w14:textFill>
              </w:rPr>
              <w:t>交期（周）</w:t>
            </w:r>
          </w:p>
        </w:tc>
        <w:tc>
          <w:tcPr>
            <w:tcW w:w="1907" w:type="dxa"/>
            <w:shd w:val="clear" w:color="auto" w:fill="7030A0"/>
            <w:vAlign w:val="center"/>
          </w:tcPr>
          <w:p>
            <w:pPr>
              <w:spacing w:line="360" w:lineRule="exact"/>
              <w:ind w:firstLine="200"/>
              <w:jc w:val="center"/>
              <w:rPr>
                <w:rFonts w:hint="default"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cs="微软雅黑"/>
                <w:b/>
                <w:bCs/>
                <w:color w:val="FFFFFF" w:themeColor="background1"/>
                <w:sz w:val="20"/>
                <w:szCs w:val="20"/>
                <w:lang w:val="en-US" w:eastAsia="zh-CN"/>
                <w14:textFill>
                  <w14:solidFill>
                    <w14:schemeClr w14:val="bg1"/>
                  </w14:solidFill>
                </w14:textFill>
              </w:rPr>
              <w:t>供需状态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209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sz w:val="20"/>
                <w:szCs w:val="20"/>
                <w:lang w:val="en-US"/>
              </w:rPr>
            </w:pPr>
            <w:r>
              <w:rPr>
                <w:rFonts w:hint="eastAsia" w:ascii="微软雅黑" w:hAnsi="微软雅黑" w:eastAsia="微软雅黑" w:cs="微软雅黑"/>
                <w:i w:val="0"/>
                <w:iCs w:val="0"/>
                <w:color w:val="404040"/>
                <w:kern w:val="0"/>
                <w:sz w:val="20"/>
                <w:szCs w:val="20"/>
                <w:u w:val="none"/>
                <w:lang w:val="en-US" w:eastAsia="zh-CN" w:bidi="ar"/>
              </w:rPr>
              <w:t>DDR4</w:t>
            </w:r>
            <w:r>
              <w:rPr>
                <w:rFonts w:hint="eastAsia" w:ascii="微软雅黑" w:hAnsi="微软雅黑" w:cs="微软雅黑"/>
                <w:i w:val="0"/>
                <w:iCs w:val="0"/>
                <w:color w:val="404040"/>
                <w:kern w:val="0"/>
                <w:sz w:val="20"/>
                <w:szCs w:val="20"/>
                <w:u w:val="none"/>
                <w:lang w:val="en-US" w:eastAsia="zh-CN" w:bidi="ar"/>
              </w:rPr>
              <w:t>/</w:t>
            </w:r>
            <w:r>
              <w:rPr>
                <w:rFonts w:hint="eastAsia" w:ascii="微软雅黑" w:hAnsi="微软雅黑" w:eastAsia="微软雅黑" w:cs="微软雅黑"/>
                <w:i w:val="0"/>
                <w:iCs w:val="0"/>
                <w:color w:val="404040"/>
                <w:kern w:val="0"/>
                <w:sz w:val="20"/>
                <w:szCs w:val="20"/>
                <w:u w:val="none"/>
                <w:lang w:val="en-US" w:eastAsia="zh-CN" w:bidi="ar"/>
              </w:rPr>
              <w:t>LPDDR4</w:t>
            </w:r>
          </w:p>
        </w:tc>
        <w:tc>
          <w:tcPr>
            <w:tcW w:w="205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sz w:val="20"/>
                <w:szCs w:val="20"/>
                <w:lang w:val="en-US"/>
              </w:rPr>
            </w:pPr>
            <w:r>
              <w:rPr>
                <w:rFonts w:hint="eastAsia" w:ascii="微软雅黑" w:hAnsi="微软雅黑" w:eastAsia="微软雅黑" w:cs="微软雅黑"/>
                <w:i w:val="0"/>
                <w:iCs w:val="0"/>
                <w:color w:val="404040"/>
                <w:kern w:val="0"/>
                <w:sz w:val="20"/>
                <w:szCs w:val="20"/>
                <w:u w:val="none"/>
                <w:lang w:val="en-US" w:eastAsia="zh-CN" w:bidi="ar"/>
              </w:rPr>
              <w:t>上涨</w:t>
            </w:r>
          </w:p>
        </w:tc>
        <w:tc>
          <w:tcPr>
            <w:tcW w:w="210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sz w:val="20"/>
                <w:szCs w:val="20"/>
                <w:lang w:val="en-US"/>
              </w:rPr>
            </w:pPr>
            <w:r>
              <w:rPr>
                <w:rFonts w:hint="eastAsia" w:ascii="微软雅黑" w:hAnsi="微软雅黑" w:cs="微软雅黑"/>
                <w:i w:val="0"/>
                <w:iCs w:val="0"/>
                <w:color w:val="404040"/>
                <w:kern w:val="0"/>
                <w:sz w:val="20"/>
                <w:szCs w:val="20"/>
                <w:u w:val="none"/>
                <w:lang w:val="en-US" w:eastAsia="zh-CN" w:bidi="ar"/>
              </w:rPr>
              <w:t>25+</w:t>
            </w:r>
          </w:p>
        </w:tc>
        <w:tc>
          <w:tcPr>
            <w:tcW w:w="190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sz w:val="20"/>
                <w:szCs w:val="20"/>
                <w:lang w:val="en-US"/>
              </w:rPr>
            </w:pPr>
            <w:r>
              <w:rPr>
                <w:rFonts w:hint="eastAsia" w:ascii="微软雅黑" w:hAnsi="微软雅黑" w:eastAsia="微软雅黑" w:cs="微软雅黑"/>
                <w:i w:val="0"/>
                <w:iCs w:val="0"/>
                <w:color w:val="404040"/>
                <w:kern w:val="0"/>
                <w:sz w:val="20"/>
                <w:szCs w:val="20"/>
                <w:u w:val="none"/>
                <w:lang w:val="en-US" w:eastAsia="zh-CN" w:bidi="ar"/>
              </w:rPr>
              <w:t>紧张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209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sz w:val="20"/>
                <w:szCs w:val="20"/>
                <w:lang w:val="en-US"/>
              </w:rPr>
            </w:pPr>
            <w:r>
              <w:rPr>
                <w:rFonts w:hint="eastAsia" w:ascii="微软雅黑" w:hAnsi="微软雅黑" w:eastAsia="微软雅黑" w:cs="微软雅黑"/>
                <w:i w:val="0"/>
                <w:iCs w:val="0"/>
                <w:color w:val="404040"/>
                <w:kern w:val="0"/>
                <w:sz w:val="20"/>
                <w:szCs w:val="20"/>
                <w:u w:val="none"/>
                <w:lang w:val="en-US" w:eastAsia="zh-CN" w:bidi="ar"/>
              </w:rPr>
              <w:t>DDR5</w:t>
            </w:r>
            <w:r>
              <w:rPr>
                <w:rFonts w:hint="eastAsia" w:ascii="微软雅黑" w:hAnsi="微软雅黑" w:cs="微软雅黑"/>
                <w:i w:val="0"/>
                <w:iCs w:val="0"/>
                <w:color w:val="404040"/>
                <w:kern w:val="0"/>
                <w:sz w:val="20"/>
                <w:szCs w:val="20"/>
                <w:u w:val="none"/>
                <w:lang w:val="en-US" w:eastAsia="zh-CN" w:bidi="ar"/>
              </w:rPr>
              <w:t>/</w:t>
            </w:r>
            <w:r>
              <w:rPr>
                <w:rFonts w:hint="eastAsia" w:ascii="微软雅黑" w:hAnsi="微软雅黑" w:eastAsia="微软雅黑" w:cs="微软雅黑"/>
                <w:i w:val="0"/>
                <w:iCs w:val="0"/>
                <w:color w:val="404040"/>
                <w:kern w:val="0"/>
                <w:sz w:val="20"/>
                <w:szCs w:val="20"/>
                <w:u w:val="none"/>
                <w:lang w:val="en-US" w:eastAsia="zh-CN" w:bidi="ar"/>
              </w:rPr>
              <w:t>LPDDR5</w:t>
            </w:r>
          </w:p>
        </w:tc>
        <w:tc>
          <w:tcPr>
            <w:tcW w:w="205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sz w:val="20"/>
                <w:szCs w:val="20"/>
              </w:rPr>
            </w:pPr>
            <w:r>
              <w:rPr>
                <w:rFonts w:hint="eastAsia" w:ascii="微软雅黑" w:hAnsi="微软雅黑" w:cs="微软雅黑"/>
                <w:i w:val="0"/>
                <w:iCs w:val="0"/>
                <w:color w:val="404040"/>
                <w:kern w:val="0"/>
                <w:sz w:val="20"/>
                <w:szCs w:val="20"/>
                <w:u w:val="none"/>
                <w:lang w:val="en-US" w:eastAsia="zh-CN" w:bidi="ar"/>
              </w:rPr>
              <w:t>上涨</w:t>
            </w:r>
          </w:p>
        </w:tc>
        <w:tc>
          <w:tcPr>
            <w:tcW w:w="210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sz w:val="20"/>
                <w:szCs w:val="20"/>
              </w:rPr>
            </w:pPr>
            <w:r>
              <w:rPr>
                <w:rFonts w:hint="eastAsia" w:ascii="微软雅黑" w:hAnsi="微软雅黑" w:cs="微软雅黑"/>
                <w:i w:val="0"/>
                <w:iCs w:val="0"/>
                <w:color w:val="404040"/>
                <w:kern w:val="0"/>
                <w:sz w:val="20"/>
                <w:szCs w:val="20"/>
                <w:u w:val="none"/>
                <w:lang w:val="en-US" w:eastAsia="zh-CN" w:bidi="ar"/>
              </w:rPr>
              <w:t>——</w:t>
            </w:r>
          </w:p>
        </w:tc>
        <w:tc>
          <w:tcPr>
            <w:tcW w:w="190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sz w:val="20"/>
                <w:szCs w:val="20"/>
              </w:rPr>
            </w:pPr>
            <w:r>
              <w:rPr>
                <w:rFonts w:hint="eastAsia" w:ascii="微软雅黑" w:hAnsi="微软雅黑" w:eastAsia="微软雅黑" w:cs="微软雅黑"/>
                <w:i w:val="0"/>
                <w:iCs w:val="0"/>
                <w:color w:val="404040"/>
                <w:kern w:val="0"/>
                <w:sz w:val="20"/>
                <w:szCs w:val="20"/>
                <w:u w:val="none"/>
                <w:lang w:val="en-US" w:eastAsia="zh-CN" w:bidi="ar"/>
              </w:rPr>
              <w:t>紧张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09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kern w:val="2"/>
                <w:sz w:val="20"/>
                <w:szCs w:val="20"/>
                <w:lang w:val="en-US" w:eastAsia="zh-CN" w:bidi="ar-SA"/>
              </w:rPr>
            </w:pPr>
            <w:r>
              <w:rPr>
                <w:rFonts w:hint="eastAsia" w:ascii="微软雅黑" w:hAnsi="微软雅黑" w:cs="微软雅黑"/>
                <w:i w:val="0"/>
                <w:iCs w:val="0"/>
                <w:color w:val="404040"/>
                <w:kern w:val="0"/>
                <w:sz w:val="20"/>
                <w:szCs w:val="20"/>
                <w:u w:val="none"/>
                <w:lang w:val="en-US" w:eastAsia="zh-CN" w:bidi="ar"/>
              </w:rPr>
              <w:t>SSD</w:t>
            </w:r>
          </w:p>
        </w:tc>
        <w:tc>
          <w:tcPr>
            <w:tcW w:w="205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kern w:val="2"/>
                <w:sz w:val="20"/>
                <w:szCs w:val="20"/>
                <w:lang w:val="en-US" w:eastAsia="zh-CN" w:bidi="ar-SA"/>
              </w:rPr>
            </w:pPr>
            <w:r>
              <w:rPr>
                <w:rFonts w:hint="eastAsia" w:ascii="微软雅黑" w:hAnsi="微软雅黑" w:cs="微软雅黑"/>
                <w:i w:val="0"/>
                <w:iCs w:val="0"/>
                <w:color w:val="404040"/>
                <w:kern w:val="0"/>
                <w:sz w:val="20"/>
                <w:szCs w:val="20"/>
                <w:u w:val="none"/>
                <w:lang w:val="en-US" w:eastAsia="zh-CN" w:bidi="ar"/>
              </w:rPr>
              <w:t>上涨</w:t>
            </w:r>
          </w:p>
        </w:tc>
        <w:tc>
          <w:tcPr>
            <w:tcW w:w="210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i w:val="0"/>
                <w:iCs w:val="0"/>
                <w:color w:val="404040"/>
                <w:kern w:val="0"/>
                <w:sz w:val="20"/>
                <w:szCs w:val="20"/>
                <w:u w:val="none"/>
                <w:lang w:val="en-US" w:eastAsia="zh-CN" w:bidi="ar"/>
              </w:rPr>
              <w:t>6</w:t>
            </w:r>
            <w:r>
              <w:rPr>
                <w:rFonts w:hint="eastAsia" w:ascii="微软雅黑" w:hAnsi="微软雅黑" w:cs="微软雅黑"/>
                <w:i w:val="0"/>
                <w:iCs w:val="0"/>
                <w:color w:val="404040"/>
                <w:kern w:val="0"/>
                <w:sz w:val="20"/>
                <w:szCs w:val="20"/>
                <w:u w:val="none"/>
                <w:lang w:val="en-US" w:eastAsia="zh-CN" w:bidi="ar"/>
              </w:rPr>
              <w:t>-</w:t>
            </w:r>
            <w:r>
              <w:rPr>
                <w:rFonts w:hint="eastAsia" w:ascii="微软雅黑" w:hAnsi="微软雅黑" w:eastAsia="微软雅黑" w:cs="微软雅黑"/>
                <w:i w:val="0"/>
                <w:iCs w:val="0"/>
                <w:color w:val="404040"/>
                <w:kern w:val="0"/>
                <w:sz w:val="20"/>
                <w:szCs w:val="20"/>
                <w:u w:val="none"/>
                <w:lang w:val="en-US" w:eastAsia="zh-CN" w:bidi="ar"/>
              </w:rPr>
              <w:t>10</w:t>
            </w:r>
          </w:p>
        </w:tc>
        <w:tc>
          <w:tcPr>
            <w:tcW w:w="190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i w:val="0"/>
                <w:iCs w:val="0"/>
                <w:color w:val="404040"/>
                <w:kern w:val="0"/>
                <w:sz w:val="20"/>
                <w:szCs w:val="20"/>
                <w:u w:val="none"/>
                <w:lang w:val="en-US" w:eastAsia="zh-CN" w:bidi="ar"/>
              </w:rPr>
              <w:t>紧张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209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kern w:val="2"/>
                <w:sz w:val="20"/>
                <w:szCs w:val="20"/>
                <w:lang w:val="en-US" w:eastAsia="zh-CN" w:bidi="ar-SA"/>
              </w:rPr>
            </w:pPr>
            <w:r>
              <w:rPr>
                <w:rFonts w:hint="eastAsia" w:ascii="微软雅黑" w:hAnsi="微软雅黑" w:cs="微软雅黑"/>
                <w:i w:val="0"/>
                <w:iCs w:val="0"/>
                <w:color w:val="404040"/>
                <w:kern w:val="0"/>
                <w:sz w:val="20"/>
                <w:szCs w:val="20"/>
                <w:u w:val="none"/>
                <w:lang w:val="en-US" w:eastAsia="zh-CN" w:bidi="ar"/>
              </w:rPr>
              <w:t>HDD</w:t>
            </w:r>
          </w:p>
        </w:tc>
        <w:tc>
          <w:tcPr>
            <w:tcW w:w="205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i w:val="0"/>
                <w:iCs w:val="0"/>
                <w:color w:val="404040"/>
                <w:kern w:val="0"/>
                <w:sz w:val="20"/>
                <w:szCs w:val="20"/>
                <w:u w:val="none"/>
                <w:lang w:val="en-US" w:eastAsia="zh-CN" w:bidi="ar"/>
              </w:rPr>
              <w:t>上涨</w:t>
            </w:r>
          </w:p>
        </w:tc>
        <w:tc>
          <w:tcPr>
            <w:tcW w:w="210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kern w:val="2"/>
                <w:sz w:val="20"/>
                <w:szCs w:val="20"/>
                <w:lang w:val="en-US" w:eastAsia="zh-CN" w:bidi="ar-SA"/>
              </w:rPr>
            </w:pPr>
            <w:r>
              <w:rPr>
                <w:rFonts w:hint="eastAsia" w:ascii="微软雅黑" w:hAnsi="微软雅黑" w:cs="微软雅黑"/>
                <w:i w:val="0"/>
                <w:iCs w:val="0"/>
                <w:color w:val="404040"/>
                <w:kern w:val="0"/>
                <w:sz w:val="20"/>
                <w:szCs w:val="20"/>
                <w:u w:val="none"/>
                <w:lang w:val="en-US" w:eastAsia="zh-CN" w:bidi="ar"/>
              </w:rPr>
              <w:t>20+</w:t>
            </w:r>
          </w:p>
        </w:tc>
        <w:tc>
          <w:tcPr>
            <w:tcW w:w="190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i w:val="0"/>
                <w:iCs w:val="0"/>
                <w:color w:val="404040"/>
                <w:kern w:val="0"/>
                <w:sz w:val="20"/>
                <w:szCs w:val="20"/>
                <w:u w:val="none"/>
                <w:lang w:val="en-US" w:eastAsia="zh-CN" w:bidi="ar"/>
              </w:rPr>
              <w:t>紧张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209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NAND Flash</w:t>
            </w:r>
          </w:p>
        </w:tc>
        <w:tc>
          <w:tcPr>
            <w:tcW w:w="2050"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上涨</w:t>
            </w:r>
          </w:p>
        </w:tc>
        <w:tc>
          <w:tcPr>
            <w:tcW w:w="2102"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w:t>
            </w:r>
          </w:p>
        </w:tc>
        <w:tc>
          <w:tcPr>
            <w:tcW w:w="190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平衡</w:t>
            </w:r>
          </w:p>
        </w:tc>
      </w:tr>
    </w:tbl>
    <w:p>
      <w:pPr>
        <w:wordWrap w:val="0"/>
        <w:ind w:right="-53" w:rightChars="-24"/>
        <w:jc w:val="center"/>
        <w:rPr>
          <w:rFonts w:hint="eastAsia"/>
        </w:rPr>
      </w:pPr>
      <w:r>
        <w:rPr>
          <w:rFonts w:hint="eastAsia" w:ascii="微软雅黑" w:hAnsi="微软雅黑" w:cs="微软雅黑"/>
          <w:sz w:val="16"/>
          <w:szCs w:val="20"/>
          <w:lang w:val="en-US" w:eastAsia="zh-CN"/>
        </w:rPr>
        <w:t xml:space="preserve">                                                                     </w:t>
      </w:r>
      <w:r>
        <w:rPr>
          <w:rFonts w:hint="eastAsia" w:ascii="微软雅黑" w:hAnsi="微软雅黑" w:eastAsia="微软雅黑" w:cs="微软雅黑"/>
          <w:sz w:val="16"/>
          <w:szCs w:val="20"/>
        </w:rPr>
        <w:t>数据来源：</w:t>
      </w:r>
      <w:r>
        <w:rPr>
          <w:rFonts w:hint="eastAsia" w:ascii="微软雅黑" w:hAnsi="微软雅黑" w:cs="微软雅黑"/>
          <w:sz w:val="16"/>
          <w:szCs w:val="20"/>
          <w:lang w:val="en-US" w:eastAsia="zh-CN"/>
        </w:rPr>
        <w:t>EET China，Fusion</w:t>
      </w:r>
    </w:p>
    <w:p>
      <w:pPr>
        <w:keepNext w:val="0"/>
        <w:keepLines w:val="0"/>
        <w:pageBreakBefore w:val="0"/>
        <w:widowControl w:val="0"/>
        <w:numPr>
          <w:ilvl w:val="0"/>
          <w:numId w:val="15"/>
        </w:numPr>
        <w:kinsoku/>
        <w:wordWrap/>
        <w:overflowPunct/>
        <w:topLinePunct w:val="0"/>
        <w:autoSpaceDE/>
        <w:autoSpaceDN/>
        <w:bidi w:val="0"/>
        <w:adjustRightInd/>
        <w:snapToGrid/>
        <w:spacing w:before="313" w:beforeLines="100" w:line="440" w:lineRule="exact"/>
        <w:ind w:left="420" w:leftChars="0" w:hanging="420" w:firstLineChars="0"/>
        <w:textAlignment w:val="auto"/>
        <w:rPr>
          <w:rFonts w:hint="eastAsia" w:ascii="微软雅黑" w:hAnsi="微软雅黑" w:cs="微软雅黑"/>
          <w:b/>
          <w:bCs/>
          <w:lang w:val="en-US" w:eastAsia="zh-CN"/>
        </w:rPr>
      </w:pPr>
      <w:r>
        <w:rPr>
          <w:rFonts w:hint="eastAsia" w:ascii="微软雅黑" w:hAnsi="微软雅黑" w:cs="微软雅黑"/>
          <w:b/>
          <w:bCs/>
          <w:lang w:val="en-US" w:eastAsia="zh-CN"/>
        </w:rPr>
        <w:t>需求致行业价格普涨，AI端侧存储解决方案加速迭代</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40" w:lineRule="exact"/>
        <w:textAlignment w:val="auto"/>
        <w:rPr>
          <w:rFonts w:hint="default" w:ascii="微软雅黑" w:hAnsi="微软雅黑" w:eastAsia="微软雅黑" w:cs="微软雅黑"/>
          <w:lang w:val="en-US" w:eastAsia="zh-CN"/>
        </w:rPr>
      </w:pPr>
      <w:r>
        <w:rPr>
          <w:rFonts w:hint="eastAsia" w:ascii="微软雅黑" w:hAnsi="微软雅黑" w:cs="微软雅黑"/>
          <w:b/>
          <w:bCs/>
          <w:lang w:val="en-US" w:eastAsia="zh-CN"/>
        </w:rPr>
        <w:t>1）产品动态</w:t>
      </w:r>
    </w:p>
    <w:p>
      <w:pPr>
        <w:keepNext w:val="0"/>
        <w:keepLines w:val="0"/>
        <w:pageBreakBefore w:val="0"/>
        <w:widowControl w:val="0"/>
        <w:numPr>
          <w:ilvl w:val="0"/>
          <w:numId w:val="16"/>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DDR4、LPDDR4X：</w:t>
      </w:r>
      <w:r>
        <w:rPr>
          <w:rFonts w:hint="eastAsia" w:ascii="微软雅黑" w:hAnsi="微软雅黑" w:cs="微软雅黑"/>
          <w:lang w:val="en-US" w:eastAsia="zh-CN"/>
        </w:rPr>
        <w:t>受DRAM原厂停产旧制程DRAM 产品影响，DDR4、LPDDR4X价格大幅上涨，迫使客户加速向DDR5内存过渡。但由于制造商的供应保障向高盈利的服务器与AI（人工智能）领域倾斜，DDR5内存自身也面临着严重的分配受限及价格的持续上扬（月涨幅已超过4%）,DRAM市场持续景气。</w:t>
      </w:r>
    </w:p>
    <w:p>
      <w:pPr>
        <w:keepNext w:val="0"/>
        <w:keepLines w:val="0"/>
        <w:pageBreakBefore w:val="0"/>
        <w:widowControl w:val="0"/>
        <w:numPr>
          <w:ilvl w:val="0"/>
          <w:numId w:val="16"/>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NAND Flash：</w:t>
      </w:r>
      <w:r>
        <w:rPr>
          <w:rFonts w:hint="eastAsia" w:ascii="微软雅黑" w:hAnsi="微软雅黑" w:cs="微软雅黑"/>
          <w:lang w:val="en-US" w:eastAsia="zh-CN"/>
        </w:rPr>
        <w:t>企业级备货叠加手机新品需求，NAND 涨价情绪日益高涨。当前，随着 AI 应用正加速渗透，AI基础设施建设持续扩张，海量数据对存储的需求与日俱增，企业级存储应用具备较高潜力。</w:t>
      </w:r>
    </w:p>
    <w:p>
      <w:pPr>
        <w:keepNext w:val="0"/>
        <w:keepLines w:val="0"/>
        <w:pageBreakBefore w:val="0"/>
        <w:widowControl w:val="0"/>
        <w:numPr>
          <w:ilvl w:val="0"/>
          <w:numId w:val="16"/>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SSD：</w:t>
      </w:r>
      <w:r>
        <w:rPr>
          <w:rFonts w:hint="eastAsia" w:ascii="微软雅黑" w:hAnsi="微软雅黑" w:cs="微软雅黑"/>
          <w:lang w:val="en-US" w:eastAsia="zh-CN"/>
        </w:rPr>
        <w:t>AI推理催化大容量储存产品结构性改变，Nearline SSD需求急升。供应商也正扩大QLC SSD的产出，预计2026年将逐步提高产能利用率。随着Inference AI应用扩张，预计这股需求热潮将延续到2027年，因此2026年Enterprise SSD（企业级固态硬盘）的供应将呈吃紧状态。</w:t>
      </w:r>
    </w:p>
    <w:p>
      <w:pPr>
        <w:keepNext w:val="0"/>
        <w:keepLines w:val="0"/>
        <w:pageBreakBefore w:val="0"/>
        <w:widowControl w:val="0"/>
        <w:numPr>
          <w:ilvl w:val="0"/>
          <w:numId w:val="16"/>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HDD：</w:t>
      </w:r>
      <w:r>
        <w:rPr>
          <w:rFonts w:hint="eastAsia" w:ascii="微软雅黑" w:hAnsi="微软雅黑" w:cs="微软雅黑"/>
          <w:lang w:val="en-US" w:eastAsia="zh-CN"/>
        </w:rPr>
        <w:t>台式机HDD需求上涨，原厂供应紧张。需求增加主要集中在1T、2T台式机硬盘，Seagate和WD小容量台盘原厂供应都比较紧张，下季度原厂会继续涨价10%以上。</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440" w:lineRule="exact"/>
        <w:textAlignment w:val="auto"/>
        <w:rPr>
          <w:rFonts w:hint="default" w:ascii="微软雅黑" w:hAnsi="微软雅黑" w:cs="微软雅黑"/>
          <w:b/>
          <w:bCs/>
          <w:lang w:val="en-US" w:eastAsia="zh-CN"/>
        </w:rPr>
      </w:pPr>
      <w:r>
        <w:rPr>
          <w:rFonts w:hint="eastAsia" w:ascii="微软雅黑" w:hAnsi="微软雅黑" w:cs="微软雅黑"/>
          <w:b/>
          <w:bCs/>
          <w:lang w:val="en-US" w:eastAsia="zh-CN"/>
        </w:rPr>
        <w:t>2）市场趋势</w:t>
      </w:r>
    </w:p>
    <w:p>
      <w:pPr>
        <w:keepNext w:val="0"/>
        <w:keepLines w:val="0"/>
        <w:pageBreakBefore w:val="0"/>
        <w:widowControl w:val="0"/>
        <w:numPr>
          <w:ilvl w:val="0"/>
          <w:numId w:val="17"/>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eastAsia="微软雅黑" w:cs="微软雅黑"/>
        </w:rPr>
      </w:pPr>
      <w:r>
        <w:rPr>
          <w:rFonts w:hint="eastAsia" w:ascii="微软雅黑" w:hAnsi="微软雅黑" w:cs="微软雅黑"/>
          <w:b/>
          <w:bCs/>
          <w:lang w:val="en-US" w:eastAsia="zh-CN"/>
        </w:rPr>
        <w:t>AI需求与市场复苏助力行业增长：</w:t>
      </w:r>
      <w:r>
        <w:rPr>
          <w:rFonts w:hint="eastAsia" w:ascii="微软雅黑" w:hAnsi="微软雅黑" w:cs="微软雅黑"/>
          <w:lang w:val="en-US" w:eastAsia="zh-CN"/>
        </w:rPr>
        <w:t>9月的存储市场由AI驱动的需求增长与传统存储市场的复苏共同推动，其中AI大模型训练对DDR5、HBM及企业级SSD的需求拉动明显，而消费者电子需求疲软的影响减弱，整体市场有望在下半年恢复动力，特别是DRAM出货量预计全年实现两位数增长。</w:t>
      </w:r>
    </w:p>
    <w:p>
      <w:pPr>
        <w:keepNext w:val="0"/>
        <w:keepLines w:val="0"/>
        <w:pageBreakBefore w:val="0"/>
        <w:widowControl w:val="0"/>
        <w:numPr>
          <w:ilvl w:val="0"/>
          <w:numId w:val="17"/>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eastAsia="微软雅黑" w:cs="微软雅黑"/>
        </w:rPr>
      </w:pPr>
      <w:r>
        <w:rPr>
          <w:rFonts w:hint="eastAsia" w:ascii="微软雅黑" w:hAnsi="微软雅黑" w:eastAsia="微软雅黑" w:cs="微软雅黑"/>
          <w:b/>
          <w:bCs/>
        </w:rPr>
        <w:t>海外大厂盈利能力持续改善，25H2 国内存储模组和利基存储业绩预计向好。</w:t>
      </w:r>
      <w:r>
        <w:rPr>
          <w:rFonts w:hint="eastAsia" w:ascii="微软雅黑" w:hAnsi="微软雅黑" w:eastAsia="微软雅黑" w:cs="微软雅黑"/>
        </w:rPr>
        <w:t>美光 FY25Q3 收入和毛利率均超指引，公司单季 HBM 收入环比增长近 50%，同时消费类产品持续复苏；SK 海力士 25Q2 营收创单季新高；国内利基存储公司产品出货量持续改善，不同品类价格均有所上涨但涨幅不一，整体业绩表现处于边际改善阶段。</w:t>
      </w:r>
    </w:p>
    <w:p>
      <w:pPr>
        <w:keepNext w:val="0"/>
        <w:keepLines w:val="0"/>
        <w:pageBreakBefore w:val="0"/>
        <w:widowControl w:val="0"/>
        <w:numPr>
          <w:ilvl w:val="0"/>
          <w:numId w:val="17"/>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eastAsia="微软雅黑" w:cs="微软雅黑"/>
        </w:rPr>
      </w:pPr>
      <w:r>
        <w:rPr>
          <w:rFonts w:hint="eastAsia" w:ascii="微软雅黑" w:hAnsi="微软雅黑" w:cs="微软雅黑"/>
          <w:b/>
          <w:bCs/>
          <w:lang w:val="en-US" w:eastAsia="zh-CN"/>
        </w:rPr>
        <w:t>推动企业存储解决方案智能化：</w:t>
      </w:r>
      <w:r>
        <w:rPr>
          <w:rFonts w:hint="eastAsia" w:ascii="微软雅黑" w:hAnsi="微软雅黑" w:cs="微软雅黑"/>
          <w:lang w:val="en-US" w:eastAsia="zh-CN"/>
        </w:rPr>
        <w:t>存储行业的市场趋势将继续受到高性能存储、大数据、AI应用、云计算、边缘计算和数据安全等多个因素的推动。企业将需要更加智能化、自动化且安全的存储解决方案来应对不断增长的数据需求。存储行业将继续向更高效、更智能、更安全的方向发展，推动技术创新和市场需求的深度变化。</w:t>
      </w:r>
    </w:p>
    <w:p>
      <w:pPr>
        <w:pStyle w:val="3"/>
        <w:keepNext/>
        <w:keepLines/>
        <w:pageBreakBefore w:val="0"/>
        <w:widowControl w:val="0"/>
        <w:numPr>
          <w:ilvl w:val="0"/>
          <w:numId w:val="14"/>
        </w:numPr>
        <w:kinsoku/>
        <w:wordWrap/>
        <w:overflowPunct/>
        <w:topLinePunct w:val="0"/>
        <w:autoSpaceDE/>
        <w:autoSpaceDN/>
        <w:bidi w:val="0"/>
        <w:adjustRightInd/>
        <w:snapToGrid/>
        <w:spacing w:before="620" w:line="400" w:lineRule="exact"/>
        <w:ind w:leftChars="0"/>
        <w:textAlignment w:val="auto"/>
        <w:rPr>
          <w:rFonts w:hint="eastAsia" w:ascii="微软雅黑" w:hAnsi="微软雅黑" w:eastAsia="微软雅黑" w:cs="微软雅黑"/>
        </w:rPr>
      </w:pPr>
      <w:bookmarkStart w:id="27" w:name="_Toc23324"/>
      <w:r>
        <w:rPr>
          <w:rFonts w:hint="eastAsia" w:ascii="微软雅黑" w:hAnsi="微软雅黑" w:cs="微软雅黑"/>
          <w:lang w:val="en-US" w:eastAsia="zh-CN"/>
        </w:rPr>
        <w:t>MC</w:t>
      </w:r>
      <w:r>
        <w:rPr>
          <w:rFonts w:hint="eastAsia" w:ascii="微软雅黑" w:hAnsi="微软雅黑" w:eastAsia="微软雅黑" w:cs="微软雅黑"/>
        </w:rPr>
        <w:t>U</w:t>
      </w:r>
      <w:bookmarkEnd w:id="27"/>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440" w:lineRule="exact"/>
        <w:ind w:firstLine="440" w:firstLineChars="200"/>
        <w:jc w:val="center"/>
        <w:textAlignment w:val="auto"/>
        <w:rPr>
          <w:rFonts w:hint="default" w:ascii="微软雅黑" w:hAnsi="微软雅黑" w:eastAsia="微软雅黑" w:cs="微软雅黑"/>
          <w:sz w:val="22"/>
          <w:szCs w:val="28"/>
          <w:lang w:val="en-US" w:eastAsia="zh-CN"/>
        </w:rPr>
      </w:pPr>
      <w:r>
        <w:rPr>
          <w:rFonts w:hint="eastAsia" w:ascii="微软雅黑" w:hAnsi="微软雅黑" w:cs="微软雅黑"/>
          <w:b/>
          <w:bCs/>
          <w:color w:val="73308A"/>
          <w:sz w:val="22"/>
          <w:szCs w:val="28"/>
          <w:lang w:val="en-US" w:eastAsia="zh-CN"/>
        </w:rPr>
        <w:t>2025年第三季度MCU交期及价格趋势</w:t>
      </w:r>
    </w:p>
    <w:tbl>
      <w:tblPr>
        <w:tblStyle w:val="19"/>
        <w:tblW w:w="8218" w:type="dxa"/>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2509"/>
        <w:gridCol w:w="1878"/>
        <w:gridCol w:w="1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953" w:type="dxa"/>
            <w:shd w:val="clear" w:color="auto" w:fill="7030A0"/>
            <w:vAlign w:val="center"/>
          </w:tcPr>
          <w:p>
            <w:pPr>
              <w:keepNext w:val="0"/>
              <w:keepLines w:val="0"/>
              <w:pageBreakBefore w:val="0"/>
              <w:kinsoku/>
              <w:wordWrap/>
              <w:overflowPunct/>
              <w:topLinePunct w:val="0"/>
              <w:autoSpaceDE/>
              <w:autoSpaceDN/>
              <w:bidi w:val="0"/>
              <w:adjustRightInd/>
              <w:snapToGrid/>
              <w:spacing w:line="440" w:lineRule="exact"/>
              <w:ind w:firstLine="200"/>
              <w:jc w:val="center"/>
              <w:rPr>
                <w:rFonts w:hint="default"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cs="微软雅黑"/>
                <w:b/>
                <w:bCs/>
                <w:color w:val="FFFFFF" w:themeColor="background1"/>
                <w:sz w:val="20"/>
                <w:szCs w:val="20"/>
                <w:lang w:val="en-US" w:eastAsia="zh-CN"/>
                <w14:textFill>
                  <w14:solidFill>
                    <w14:schemeClr w14:val="bg1"/>
                  </w14:solidFill>
                </w14:textFill>
              </w:rPr>
              <w:t>MCU</w:t>
            </w:r>
          </w:p>
        </w:tc>
        <w:tc>
          <w:tcPr>
            <w:tcW w:w="2509" w:type="dxa"/>
            <w:shd w:val="clear" w:color="auto" w:fill="7030A0"/>
            <w:vAlign w:val="center"/>
          </w:tcPr>
          <w:p>
            <w:pPr>
              <w:keepNext w:val="0"/>
              <w:keepLines w:val="0"/>
              <w:pageBreakBefore w:val="0"/>
              <w:kinsoku/>
              <w:wordWrap/>
              <w:overflowPunct/>
              <w:topLinePunct w:val="0"/>
              <w:autoSpaceDE/>
              <w:autoSpaceDN/>
              <w:bidi w:val="0"/>
              <w:adjustRightInd/>
              <w:snapToGrid/>
              <w:spacing w:line="440" w:lineRule="exact"/>
              <w:ind w:firstLine="200"/>
              <w:jc w:val="center"/>
              <w:rPr>
                <w:rFonts w:hint="eastAsia" w:ascii="微软雅黑" w:hAnsi="微软雅黑" w:eastAsia="微软雅黑" w:cs="微软雅黑"/>
                <w:b/>
                <w:bCs/>
                <w:color w:val="FFFFFF" w:themeColor="background1"/>
                <w:sz w:val="20"/>
                <w:szCs w:val="20"/>
                <w14:textFill>
                  <w14:solidFill>
                    <w14:schemeClr w14:val="bg1"/>
                  </w14:solidFill>
                </w14:textFill>
              </w:rPr>
            </w:pPr>
            <w:r>
              <w:rPr>
                <w:rFonts w:hint="eastAsia" w:ascii="微软雅黑" w:hAnsi="微软雅黑" w:cs="微软雅黑"/>
                <w:b/>
                <w:bCs/>
                <w:color w:val="FFFFFF" w:themeColor="background1"/>
                <w:sz w:val="20"/>
                <w:szCs w:val="20"/>
                <w:lang w:val="en-US" w:eastAsia="zh-CN"/>
                <w14:textFill>
                  <w14:solidFill>
                    <w14:schemeClr w14:val="bg1"/>
                  </w14:solidFill>
                </w14:textFill>
              </w:rPr>
              <w:t>厂商</w:t>
            </w:r>
          </w:p>
        </w:tc>
        <w:tc>
          <w:tcPr>
            <w:tcW w:w="1878" w:type="dxa"/>
            <w:shd w:val="clear" w:color="auto" w:fill="7030A0"/>
            <w:vAlign w:val="center"/>
          </w:tcPr>
          <w:p>
            <w:pPr>
              <w:keepNext w:val="0"/>
              <w:keepLines w:val="0"/>
              <w:pageBreakBefore w:val="0"/>
              <w:kinsoku/>
              <w:wordWrap/>
              <w:overflowPunct/>
              <w:topLinePunct w:val="0"/>
              <w:autoSpaceDE/>
              <w:autoSpaceDN/>
              <w:bidi w:val="0"/>
              <w:adjustRightInd/>
              <w:snapToGrid/>
              <w:spacing w:line="440" w:lineRule="exact"/>
              <w:jc w:val="center"/>
              <w:rPr>
                <w:rFonts w:hint="default"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cs="微软雅黑"/>
                <w:b/>
                <w:bCs/>
                <w:color w:val="FFFFFF" w:themeColor="background1"/>
                <w:sz w:val="20"/>
                <w:szCs w:val="20"/>
                <w:lang w:val="en-US" w:eastAsia="zh-CN"/>
                <w14:textFill>
                  <w14:solidFill>
                    <w14:schemeClr w14:val="bg1"/>
                  </w14:solidFill>
                </w14:textFill>
              </w:rPr>
              <w:t>货期及趋势</w:t>
            </w:r>
          </w:p>
        </w:tc>
        <w:tc>
          <w:tcPr>
            <w:tcW w:w="1878" w:type="dxa"/>
            <w:shd w:val="clear" w:color="auto" w:fill="7030A0"/>
            <w:vAlign w:val="center"/>
          </w:tcPr>
          <w:p>
            <w:pPr>
              <w:keepNext w:val="0"/>
              <w:keepLines w:val="0"/>
              <w:pageBreakBefore w:val="0"/>
              <w:kinsoku/>
              <w:wordWrap/>
              <w:overflowPunct/>
              <w:topLinePunct w:val="0"/>
              <w:autoSpaceDE/>
              <w:autoSpaceDN/>
              <w:bidi w:val="0"/>
              <w:adjustRightInd/>
              <w:snapToGrid/>
              <w:spacing w:line="440" w:lineRule="exact"/>
              <w:ind w:firstLine="200"/>
              <w:jc w:val="center"/>
              <w:rPr>
                <w:rFonts w:hint="eastAsia"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bCs/>
                <w:color w:val="FFFFFF" w:themeColor="background1"/>
                <w:sz w:val="20"/>
                <w:szCs w:val="20"/>
                <w:lang w:val="en-US" w:eastAsia="zh-CN"/>
                <w14:textFill>
                  <w14:solidFill>
                    <w14:schemeClr w14:val="bg1"/>
                  </w14:solidFill>
                </w14:textFill>
              </w:rPr>
              <w:t>价格趋势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953"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8位MCU</w:t>
            </w:r>
          </w:p>
        </w:tc>
        <w:tc>
          <w:tcPr>
            <w:tcW w:w="250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英飞凌</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Infineon</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10-26</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bookmarkStart w:id="28" w:name="OLE_LINK5"/>
            <w:r>
              <w:rPr>
                <w:rFonts w:hint="eastAsia" w:ascii="微软雅黑" w:hAnsi="微软雅黑" w:cs="微软雅黑"/>
                <w:sz w:val="20"/>
                <w:szCs w:val="20"/>
                <w:lang w:val="en-US" w:eastAsia="zh-CN"/>
              </w:rPr>
              <w:t>稳定</w:t>
            </w:r>
            <w:bookmarkEnd w:id="2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1953"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p>
        </w:tc>
        <w:tc>
          <w:tcPr>
            <w:tcW w:w="250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微芯</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Microchip</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4-12</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953"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p>
        </w:tc>
        <w:tc>
          <w:tcPr>
            <w:tcW w:w="250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恩智浦</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NXP</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13-39</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953"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p>
        </w:tc>
        <w:tc>
          <w:tcPr>
            <w:tcW w:w="250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瑞萨</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default" w:ascii="微软雅黑" w:hAnsi="微软雅黑" w:cs="微软雅黑"/>
                <w:sz w:val="20"/>
                <w:szCs w:val="20"/>
                <w:lang w:val="en-US" w:eastAsia="zh-CN"/>
              </w:rPr>
              <w:t>Renesas</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14-18</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953"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p>
        </w:tc>
        <w:tc>
          <w:tcPr>
            <w:tcW w:w="250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意法半导体</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ST</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10-24</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1953"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32位MCU</w:t>
            </w:r>
          </w:p>
        </w:tc>
        <w:tc>
          <w:tcPr>
            <w:tcW w:w="250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英飞凌</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Infineon</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10-26</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953"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p>
        </w:tc>
        <w:tc>
          <w:tcPr>
            <w:tcW w:w="250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微芯</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Microchip</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4-8</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953"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p>
        </w:tc>
        <w:tc>
          <w:tcPr>
            <w:tcW w:w="250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恩智浦</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NXP</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13-39</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953"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p>
        </w:tc>
        <w:tc>
          <w:tcPr>
            <w:tcW w:w="250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瑞萨</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default" w:ascii="微软雅黑" w:hAnsi="微软雅黑" w:cs="微软雅黑"/>
                <w:sz w:val="20"/>
                <w:szCs w:val="20"/>
                <w:lang w:val="en-US" w:eastAsia="zh-CN"/>
              </w:rPr>
              <w:t>Renesas</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14-18</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953"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p>
        </w:tc>
        <w:tc>
          <w:tcPr>
            <w:tcW w:w="250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意法半导体</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ST</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cs="微软雅黑"/>
                <w:sz w:val="20"/>
                <w:szCs w:val="20"/>
                <w:lang w:val="en-US" w:eastAsia="zh-CN"/>
              </w:rPr>
            </w:pPr>
            <w:r>
              <w:rPr>
                <w:rFonts w:hint="eastAsia" w:ascii="微软雅黑" w:hAnsi="微软雅黑" w:cs="微软雅黑"/>
                <w:sz w:val="20"/>
                <w:szCs w:val="20"/>
                <w:lang w:val="en-US" w:eastAsia="zh-CN"/>
              </w:rPr>
              <w:t>13-16</w:t>
            </w:r>
          </w:p>
        </w:tc>
        <w:tc>
          <w:tcPr>
            <w:tcW w:w="187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sz w:val="20"/>
                <w:szCs w:val="20"/>
                <w:lang w:val="en-US" w:eastAsia="zh-CN"/>
              </w:rPr>
            </w:pPr>
            <w:r>
              <w:rPr>
                <w:rFonts w:hint="eastAsia" w:ascii="微软雅黑" w:hAnsi="微软雅黑" w:cs="微软雅黑"/>
                <w:sz w:val="20"/>
                <w:szCs w:val="20"/>
                <w:lang w:val="en-US" w:eastAsia="zh-CN"/>
              </w:rPr>
              <w:t>稳定</w:t>
            </w:r>
          </w:p>
        </w:tc>
      </w:tr>
    </w:tbl>
    <w:p>
      <w:pPr>
        <w:ind w:right="-53" w:rightChars="-24"/>
        <w:jc w:val="right"/>
        <w:rPr>
          <w:rFonts w:hint="default" w:ascii="微软雅黑" w:hAnsi="微软雅黑" w:eastAsia="微软雅黑" w:cs="微软雅黑"/>
          <w:b/>
          <w:bCs/>
          <w:lang w:val="en-US" w:eastAsia="zh-CN"/>
        </w:rPr>
      </w:pPr>
      <w:r>
        <w:rPr>
          <w:rFonts w:hint="eastAsia" w:ascii="微软雅黑" w:hAnsi="微软雅黑" w:eastAsia="微软雅黑" w:cs="微软雅黑"/>
          <w:sz w:val="16"/>
          <w:szCs w:val="20"/>
        </w:rPr>
        <w:t>数据来源：</w:t>
      </w:r>
      <w:r>
        <w:rPr>
          <w:rFonts w:hint="eastAsia" w:ascii="微软雅黑" w:hAnsi="微软雅黑" w:cs="微软雅黑"/>
          <w:sz w:val="16"/>
          <w:szCs w:val="20"/>
          <w:lang w:val="en-US" w:eastAsia="zh-CN"/>
        </w:rPr>
        <w:t>招商电子，富昌电子</w:t>
      </w:r>
    </w:p>
    <w:p>
      <w:pPr>
        <w:rPr>
          <w:rFonts w:hint="eastAsia"/>
        </w:rPr>
      </w:pPr>
    </w:p>
    <w:p>
      <w:pPr>
        <w:keepNext w:val="0"/>
        <w:keepLines w:val="0"/>
        <w:pageBreakBefore w:val="0"/>
        <w:widowControl w:val="0"/>
        <w:numPr>
          <w:ilvl w:val="0"/>
          <w:numId w:val="15"/>
        </w:numPr>
        <w:kinsoku/>
        <w:wordWrap/>
        <w:overflowPunct/>
        <w:topLinePunct w:val="0"/>
        <w:autoSpaceDE/>
        <w:autoSpaceDN/>
        <w:bidi w:val="0"/>
        <w:adjustRightInd/>
        <w:snapToGrid/>
        <w:spacing w:before="313" w:beforeLines="100" w:line="440" w:lineRule="exact"/>
        <w:ind w:left="420" w:leftChars="0" w:hanging="420" w:firstLineChars="0"/>
        <w:textAlignment w:val="auto"/>
        <w:rPr>
          <w:rFonts w:hint="eastAsia" w:ascii="微软雅黑" w:hAnsi="微软雅黑" w:cs="微软雅黑"/>
          <w:b/>
          <w:bCs/>
          <w:lang w:val="en-US" w:eastAsia="zh-CN"/>
        </w:rPr>
      </w:pPr>
      <w:r>
        <w:rPr>
          <w:rFonts w:hint="eastAsia" w:ascii="微软雅黑" w:hAnsi="微软雅黑" w:cs="微软雅黑"/>
          <w:b/>
          <w:bCs/>
          <w:lang w:val="en-US" w:eastAsia="zh-CN"/>
        </w:rPr>
        <w:t>MCU消费/家电/工业/车规等市场需求温和复苏</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40" w:lineRule="exact"/>
        <w:textAlignment w:val="auto"/>
        <w:rPr>
          <w:rFonts w:hint="default" w:ascii="微软雅黑" w:hAnsi="微软雅黑" w:eastAsia="微软雅黑" w:cs="微软雅黑"/>
          <w:lang w:val="en-US" w:eastAsia="zh-CN"/>
        </w:rPr>
      </w:pPr>
      <w:r>
        <w:rPr>
          <w:rFonts w:hint="eastAsia" w:ascii="微软雅黑" w:hAnsi="微软雅黑" w:cs="微软雅黑"/>
          <w:b/>
          <w:bCs/>
          <w:lang w:val="en-US" w:eastAsia="zh-CN"/>
        </w:rPr>
        <w:t>1）产品动态</w:t>
      </w:r>
    </w:p>
    <w:p>
      <w:pPr>
        <w:keepNext w:val="0"/>
        <w:keepLines w:val="0"/>
        <w:pageBreakBefore w:val="0"/>
        <w:widowControl w:val="0"/>
        <w:numPr>
          <w:ilvl w:val="0"/>
          <w:numId w:val="16"/>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瑞萨：</w:t>
      </w:r>
      <w:r>
        <w:rPr>
          <w:rFonts w:hint="eastAsia" w:ascii="微软雅黑" w:hAnsi="微软雅黑" w:cs="微软雅黑"/>
          <w:lang w:val="en-US" w:eastAsia="zh-CN"/>
        </w:rPr>
        <w:t>发布了基于1 GHz Arm Cortex-M85内核的RA8T2 MCU产品群，该系列可选配250 MHz Cortex-M33协处理器，并配备了1MB的MRAM。其显著特点是支持双千兆以太网、EtherCAT等先进的工业网络协议，主要面向高端工业设备、机器人及工厂自动化等对算力和实时控制要求极高的应用场景。</w:t>
      </w:r>
    </w:p>
    <w:p>
      <w:pPr>
        <w:keepNext w:val="0"/>
        <w:keepLines w:val="0"/>
        <w:pageBreakBefore w:val="0"/>
        <w:widowControl w:val="0"/>
        <w:numPr>
          <w:ilvl w:val="0"/>
          <w:numId w:val="16"/>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英飞凌：</w:t>
      </w:r>
      <w:r>
        <w:rPr>
          <w:rFonts w:hint="eastAsia" w:ascii="微软雅黑" w:hAnsi="微软雅黑" w:cs="微软雅黑"/>
          <w:lang w:val="en-US" w:eastAsia="zh-CN"/>
        </w:rPr>
        <w:t>为其AURIX™ TC4x系列MCU推出了通过ASPICE CL3及ISO 26262 ASIL D认证的全套软件产品，包括AUTOSAR MCAL和安全库等。这一举措旨在帮助客户大幅缩短基于该平台的车规级应用开发周期，主要目标市场为汽车高级驾驶辅助系统(ADAS)和动力总成领域。</w:t>
      </w:r>
    </w:p>
    <w:p>
      <w:pPr>
        <w:keepNext w:val="0"/>
        <w:keepLines w:val="0"/>
        <w:pageBreakBefore w:val="0"/>
        <w:widowControl w:val="0"/>
        <w:numPr>
          <w:ilvl w:val="0"/>
          <w:numId w:val="16"/>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微芯科技：</w:t>
      </w:r>
      <w:r>
        <w:rPr>
          <w:rFonts w:hint="eastAsia" w:ascii="微软雅黑" w:hAnsi="微软雅黑" w:cs="微软雅黑"/>
          <w:lang w:val="en-US" w:eastAsia="zh-CN"/>
        </w:rPr>
        <w:t>推出了SAMRH707辐射硬化微控制器。该产品符合严格的航天级（QML/ESCC）标准，基于Arm Cortex-M7内核，并支持SpaceWire等航天器常用接口，专为卫星子系统、遥测等航空航天应用而设计。</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440" w:lineRule="exact"/>
        <w:textAlignment w:val="auto"/>
        <w:rPr>
          <w:rFonts w:hint="eastAsia" w:ascii="微软雅黑" w:hAnsi="微软雅黑" w:cs="微软雅黑"/>
          <w:b/>
          <w:bCs/>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440" w:lineRule="exact"/>
        <w:textAlignment w:val="auto"/>
        <w:rPr>
          <w:rFonts w:hint="default" w:ascii="微软雅黑" w:hAnsi="微软雅黑" w:cs="微软雅黑"/>
          <w:b/>
          <w:bCs/>
          <w:lang w:val="en-US" w:eastAsia="zh-CN"/>
        </w:rPr>
      </w:pPr>
      <w:r>
        <w:rPr>
          <w:rFonts w:hint="eastAsia" w:ascii="微软雅黑" w:hAnsi="微软雅黑" w:cs="微软雅黑"/>
          <w:b/>
          <w:bCs/>
          <w:lang w:val="en-US" w:eastAsia="zh-CN"/>
        </w:rPr>
        <w:t>2）市场趋势</w:t>
      </w:r>
    </w:p>
    <w:p>
      <w:pPr>
        <w:keepNext w:val="0"/>
        <w:keepLines w:val="0"/>
        <w:pageBreakBefore w:val="0"/>
        <w:widowControl w:val="0"/>
        <w:numPr>
          <w:ilvl w:val="0"/>
          <w:numId w:val="16"/>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市场需求增加：</w:t>
      </w:r>
      <w:r>
        <w:rPr>
          <w:rFonts w:hint="eastAsia" w:ascii="微软雅黑" w:hAnsi="微软雅黑" w:cs="微软雅黑"/>
          <w:lang w:val="en-US" w:eastAsia="zh-CN"/>
        </w:rPr>
        <w:t>下半年预期细分下游市场温和复苏，部分市场如白电、电动自行车、计算机周边MCU需求增加，但客户提前拉货效应可能较上半年有所减弱。国内 MCU公司25Q2收入整体同比平稳增长，展望25H2价格维持筑底。</w:t>
      </w:r>
    </w:p>
    <w:p>
      <w:pPr>
        <w:keepNext w:val="0"/>
        <w:keepLines w:val="0"/>
        <w:pageBreakBefore w:val="0"/>
        <w:widowControl w:val="0"/>
        <w:numPr>
          <w:ilvl w:val="0"/>
          <w:numId w:val="16"/>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寻求架构多元化：</w:t>
      </w:r>
      <w:r>
        <w:rPr>
          <w:rFonts w:hint="eastAsia" w:ascii="微软雅黑" w:hAnsi="微软雅黑" w:cs="微软雅黑"/>
          <w:lang w:val="en-US" w:eastAsia="zh-CN"/>
        </w:rPr>
        <w:t>英飞凌透露其车用RISC-V MCU的路线图，计划在2028-2029年量产。这预示着未来MCU的底层架构可能逐渐从Arm主导走向Arm与RISC-V等多种架构并存的局面，为市场带来更多选择。</w:t>
      </w:r>
    </w:p>
    <w:p>
      <w:pPr>
        <w:keepNext w:val="0"/>
        <w:keepLines w:val="0"/>
        <w:pageBreakBefore w:val="0"/>
        <w:widowControl w:val="0"/>
        <w:numPr>
          <w:ilvl w:val="0"/>
          <w:numId w:val="16"/>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rPr>
      </w:pPr>
      <w:r>
        <w:rPr>
          <w:rFonts w:hint="eastAsia" w:ascii="微软雅黑" w:hAnsi="微软雅黑" w:cs="微软雅黑"/>
          <w:b/>
          <w:bCs/>
          <w:lang w:val="en-US" w:eastAsia="zh-CN"/>
        </w:rPr>
        <w:t>高性能与实时控制是焦点：</w:t>
      </w:r>
      <w:r>
        <w:rPr>
          <w:rFonts w:hint="eastAsia" w:ascii="微软雅黑" w:hAnsi="微软雅黑" w:cs="微软雅黑"/>
          <w:lang w:val="en-US" w:eastAsia="zh-CN"/>
        </w:rPr>
        <w:t>瑞萨电子的RA8T2将主频推至1GHz，并集成大容量MRAM和丰富的工业网络接口，直接瞄准了对算力和实时性要求极高的下一代机器人和智能工厂需求。</w:t>
      </w:r>
    </w:p>
    <w:p>
      <w:pPr>
        <w:pStyle w:val="3"/>
        <w:keepNext/>
        <w:keepLines/>
        <w:pageBreakBefore w:val="0"/>
        <w:widowControl w:val="0"/>
        <w:numPr>
          <w:ilvl w:val="0"/>
          <w:numId w:val="14"/>
        </w:numPr>
        <w:kinsoku/>
        <w:wordWrap/>
        <w:overflowPunct/>
        <w:topLinePunct w:val="0"/>
        <w:autoSpaceDE/>
        <w:autoSpaceDN/>
        <w:bidi w:val="0"/>
        <w:adjustRightInd/>
        <w:snapToGrid/>
        <w:spacing w:before="620" w:line="400" w:lineRule="exact"/>
        <w:ind w:left="0" w:leftChars="0" w:firstLine="0" w:firstLineChars="0"/>
        <w:textAlignment w:val="auto"/>
        <w:rPr>
          <w:rFonts w:hint="eastAsia" w:ascii="微软雅黑" w:hAnsi="微软雅黑" w:eastAsia="微软雅黑" w:cs="微软雅黑"/>
        </w:rPr>
      </w:pPr>
      <w:bookmarkStart w:id="29" w:name="_Toc3473"/>
      <w:bookmarkStart w:id="30" w:name="OLE_LINK3"/>
      <w:bookmarkStart w:id="31" w:name="_Toc182324549"/>
      <w:r>
        <w:rPr>
          <w:rFonts w:hint="eastAsia" w:ascii="微软雅黑" w:hAnsi="微软雅黑" w:cs="微软雅黑"/>
          <w:lang w:val="en-US" w:eastAsia="zh-CN"/>
        </w:rPr>
        <w:t>CPU</w:t>
      </w:r>
      <w:bookmarkEnd w:id="29"/>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440" w:lineRule="exact"/>
        <w:ind w:firstLine="440" w:firstLineChars="200"/>
        <w:jc w:val="center"/>
        <w:textAlignment w:val="auto"/>
        <w:rPr>
          <w:rFonts w:hint="default" w:ascii="微软雅黑" w:hAnsi="微软雅黑" w:eastAsia="微软雅黑" w:cs="微软雅黑"/>
          <w:sz w:val="22"/>
          <w:szCs w:val="28"/>
          <w:lang w:val="en-US" w:eastAsia="zh-CN"/>
        </w:rPr>
      </w:pPr>
      <w:r>
        <w:rPr>
          <w:rFonts w:hint="eastAsia" w:ascii="微软雅黑" w:hAnsi="微软雅黑" w:cs="微软雅黑"/>
          <w:b/>
          <w:bCs/>
          <w:color w:val="73308A"/>
          <w:sz w:val="22"/>
          <w:szCs w:val="28"/>
          <w:lang w:val="en-US" w:eastAsia="zh-CN"/>
        </w:rPr>
        <w:t>2025年9月CPU重点产品行情一览</w:t>
      </w:r>
    </w:p>
    <w:tbl>
      <w:tblPr>
        <w:tblStyle w:val="19"/>
        <w:tblW w:w="8238" w:type="dxa"/>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9"/>
        <w:gridCol w:w="2067"/>
        <w:gridCol w:w="1548"/>
        <w:gridCol w:w="1548"/>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609" w:type="dxa"/>
            <w:shd w:val="clear" w:color="auto" w:fill="7030A0"/>
            <w:vAlign w:val="center"/>
          </w:tcPr>
          <w:p>
            <w:pPr>
              <w:keepNext w:val="0"/>
              <w:keepLines w:val="0"/>
              <w:pageBreakBefore w:val="0"/>
              <w:kinsoku/>
              <w:wordWrap/>
              <w:overflowPunct/>
              <w:topLinePunct w:val="0"/>
              <w:autoSpaceDE/>
              <w:autoSpaceDN/>
              <w:bidi w:val="0"/>
              <w:adjustRightInd/>
              <w:snapToGrid/>
              <w:spacing w:line="440" w:lineRule="exact"/>
              <w:ind w:firstLine="200"/>
              <w:jc w:val="center"/>
              <w:rPr>
                <w:rFonts w:hint="eastAsia"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bCs/>
                <w:color w:val="FFFFFF" w:themeColor="background1"/>
                <w:sz w:val="20"/>
                <w:szCs w:val="20"/>
                <w:lang w:val="en-US" w:eastAsia="zh-CN"/>
                <w14:textFill>
                  <w14:solidFill>
                    <w14:schemeClr w14:val="bg1"/>
                  </w14:solidFill>
                </w14:textFill>
              </w:rPr>
              <w:t>类别</w:t>
            </w:r>
          </w:p>
        </w:tc>
        <w:tc>
          <w:tcPr>
            <w:tcW w:w="2067" w:type="dxa"/>
            <w:shd w:val="clear" w:color="auto" w:fill="7030A0"/>
            <w:vAlign w:val="center"/>
          </w:tcPr>
          <w:p>
            <w:pPr>
              <w:keepNext w:val="0"/>
              <w:keepLines w:val="0"/>
              <w:pageBreakBefore w:val="0"/>
              <w:kinsoku/>
              <w:wordWrap/>
              <w:overflowPunct/>
              <w:topLinePunct w:val="0"/>
              <w:autoSpaceDE/>
              <w:autoSpaceDN/>
              <w:bidi w:val="0"/>
              <w:adjustRightInd/>
              <w:snapToGrid/>
              <w:spacing w:line="440" w:lineRule="exact"/>
              <w:ind w:firstLine="200"/>
              <w:jc w:val="center"/>
              <w:rPr>
                <w:rFonts w:hint="eastAsia" w:ascii="微软雅黑" w:hAnsi="微软雅黑" w:eastAsia="微软雅黑" w:cs="微软雅黑"/>
                <w:b/>
                <w:bCs/>
                <w:color w:val="FFFFFF" w:themeColor="background1"/>
                <w:sz w:val="20"/>
                <w:szCs w:val="20"/>
                <w14:textFill>
                  <w14:solidFill>
                    <w14:schemeClr w14:val="bg1"/>
                  </w14:solidFill>
                </w14:textFill>
              </w:rPr>
            </w:pPr>
            <w:r>
              <w:rPr>
                <w:rFonts w:hint="eastAsia" w:ascii="微软雅黑" w:hAnsi="微软雅黑" w:eastAsia="微软雅黑" w:cs="微软雅黑"/>
                <w:b/>
                <w:bCs/>
                <w:color w:val="FFFFFF" w:themeColor="background1"/>
                <w:sz w:val="20"/>
                <w:szCs w:val="20"/>
                <w:lang w:val="en-US" w:eastAsia="zh-CN"/>
                <w14:textFill>
                  <w14:solidFill>
                    <w14:schemeClr w14:val="bg1"/>
                  </w14:solidFill>
                </w14:textFill>
              </w:rPr>
              <w:t>产品</w:t>
            </w:r>
          </w:p>
        </w:tc>
        <w:tc>
          <w:tcPr>
            <w:tcW w:w="1548" w:type="dxa"/>
            <w:shd w:val="clear" w:color="auto" w:fill="7030A0"/>
            <w:vAlign w:val="center"/>
          </w:tcPr>
          <w:p>
            <w:pPr>
              <w:keepNext w:val="0"/>
              <w:keepLines w:val="0"/>
              <w:pageBreakBefore w:val="0"/>
              <w:kinsoku/>
              <w:wordWrap/>
              <w:overflowPunct/>
              <w:topLinePunct w:val="0"/>
              <w:autoSpaceDE/>
              <w:autoSpaceDN/>
              <w:bidi w:val="0"/>
              <w:adjustRightInd/>
              <w:snapToGrid/>
              <w:spacing w:line="440" w:lineRule="exact"/>
              <w:jc w:val="center"/>
              <w:rPr>
                <w:rFonts w:hint="default"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cs="微软雅黑"/>
                <w:b/>
                <w:bCs/>
                <w:color w:val="FFFFFF" w:themeColor="background1"/>
                <w:sz w:val="20"/>
                <w:szCs w:val="20"/>
                <w:lang w:val="en-US" w:eastAsia="zh-CN"/>
                <w14:textFill>
                  <w14:solidFill>
                    <w14:schemeClr w14:val="bg1"/>
                  </w14:solidFill>
                </w14:textFill>
              </w:rPr>
              <w:t>品牌</w:t>
            </w:r>
          </w:p>
        </w:tc>
        <w:tc>
          <w:tcPr>
            <w:tcW w:w="1548" w:type="dxa"/>
            <w:shd w:val="clear" w:color="auto" w:fill="7030A0"/>
            <w:vAlign w:val="center"/>
          </w:tcPr>
          <w:p>
            <w:pPr>
              <w:keepNext w:val="0"/>
              <w:keepLines w:val="0"/>
              <w:pageBreakBefore w:val="0"/>
              <w:kinsoku/>
              <w:wordWrap/>
              <w:overflowPunct/>
              <w:topLinePunct w:val="0"/>
              <w:autoSpaceDE/>
              <w:autoSpaceDN/>
              <w:bidi w:val="0"/>
              <w:adjustRightInd/>
              <w:snapToGrid/>
              <w:spacing w:line="440" w:lineRule="exact"/>
              <w:ind w:firstLine="200"/>
              <w:jc w:val="center"/>
              <w:rPr>
                <w:rFonts w:hint="eastAsia"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bCs/>
                <w:color w:val="FFFFFF" w:themeColor="background1"/>
                <w:sz w:val="20"/>
                <w:szCs w:val="20"/>
                <w:lang w:val="en-US" w:eastAsia="zh-CN"/>
                <w14:textFill>
                  <w14:solidFill>
                    <w14:schemeClr w14:val="bg1"/>
                  </w14:solidFill>
                </w14:textFill>
              </w:rPr>
              <w:t>价格趋势</w:t>
            </w:r>
          </w:p>
        </w:tc>
        <w:tc>
          <w:tcPr>
            <w:tcW w:w="1466" w:type="dxa"/>
            <w:shd w:val="clear" w:color="auto" w:fill="7030A0"/>
            <w:vAlign w:val="center"/>
          </w:tcPr>
          <w:p>
            <w:pPr>
              <w:keepNext w:val="0"/>
              <w:keepLines w:val="0"/>
              <w:pageBreakBefore w:val="0"/>
              <w:kinsoku/>
              <w:wordWrap/>
              <w:overflowPunct/>
              <w:topLinePunct w:val="0"/>
              <w:autoSpaceDE/>
              <w:autoSpaceDN/>
              <w:bidi w:val="0"/>
              <w:adjustRightInd/>
              <w:snapToGrid/>
              <w:spacing w:line="440" w:lineRule="exact"/>
              <w:ind w:firstLine="200"/>
              <w:jc w:val="center"/>
              <w:rPr>
                <w:rFonts w:hint="default" w:ascii="微软雅黑" w:hAnsi="微软雅黑" w:eastAsia="微软雅黑" w:cs="微软雅黑"/>
                <w:b/>
                <w:bCs/>
                <w:color w:val="FFFFFF" w:themeColor="background1"/>
                <w:sz w:val="20"/>
                <w:szCs w:val="20"/>
                <w:lang w:val="en-US" w:eastAsia="zh-CN"/>
                <w14:textFill>
                  <w14:solidFill>
                    <w14:schemeClr w14:val="bg1"/>
                  </w14:solidFill>
                </w14:textFill>
              </w:rPr>
            </w:pPr>
            <w:r>
              <w:rPr>
                <w:rFonts w:hint="eastAsia" w:ascii="微软雅黑" w:hAnsi="微软雅黑" w:cs="微软雅黑"/>
                <w:b/>
                <w:bCs/>
                <w:color w:val="FFFFFF" w:themeColor="background1"/>
                <w:sz w:val="20"/>
                <w:szCs w:val="20"/>
                <w:lang w:val="en-US" w:eastAsia="zh-CN"/>
                <w14:textFill>
                  <w14:solidFill>
                    <w14:schemeClr w14:val="bg1"/>
                  </w14:solidFill>
                </w14:textFill>
              </w:rPr>
              <w:t>交期/周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609"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0"/>
                <w:szCs w:val="20"/>
              </w:rPr>
            </w:pPr>
            <w:r>
              <w:rPr>
                <w:rFonts w:hint="eastAsia" w:ascii="微软雅黑" w:hAnsi="微软雅黑" w:eastAsia="微软雅黑" w:cs="微软雅黑"/>
                <w:i w:val="0"/>
                <w:iCs w:val="0"/>
                <w:color w:val="404040"/>
                <w:kern w:val="0"/>
                <w:sz w:val="20"/>
                <w:szCs w:val="20"/>
                <w:u w:val="none"/>
                <w:lang w:val="en-US" w:eastAsia="zh-CN" w:bidi="ar"/>
              </w:rPr>
              <w:t>消费级</w:t>
            </w:r>
          </w:p>
        </w:tc>
        <w:tc>
          <w:tcPr>
            <w:tcW w:w="206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i5-13400 (10核)</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 xml:space="preserve">英特尔 </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（Intel）</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平稳</w:t>
            </w:r>
          </w:p>
        </w:tc>
        <w:tc>
          <w:tcPr>
            <w:tcW w:w="1466"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609"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p>
        </w:tc>
        <w:tc>
          <w:tcPr>
            <w:tcW w:w="206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i7-13700K (16核)</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 xml:space="preserve">英特尔 </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（Intel）</w:t>
            </w:r>
          </w:p>
        </w:tc>
        <w:tc>
          <w:tcPr>
            <w:tcW w:w="1548" w:type="dxa"/>
            <w:vAlign w:val="center"/>
          </w:tcPr>
          <w:p>
            <w:pPr>
              <w:keepNext w:val="0"/>
              <w:keepLines w:val="0"/>
              <w:pageBreakBefore w:val="0"/>
              <w:widowControl/>
              <w:suppressLineNumbers w:val="0"/>
              <w:tabs>
                <w:tab w:val="left" w:pos="520"/>
              </w:tabs>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下降</w:t>
            </w:r>
          </w:p>
        </w:tc>
        <w:tc>
          <w:tcPr>
            <w:tcW w:w="1466"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609"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p>
        </w:tc>
        <w:tc>
          <w:tcPr>
            <w:tcW w:w="206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R5 7600X (6核)</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超威半导体</w:t>
            </w:r>
          </w:p>
          <w:p>
            <w:pPr>
              <w:keepNext w:val="0"/>
              <w:keepLines w:val="0"/>
              <w:pageBreakBefore w:val="0"/>
              <w:widowControl/>
              <w:suppressLineNumbers w:val="0"/>
              <w:tabs>
                <w:tab w:val="left" w:pos="357"/>
              </w:tabs>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（AMD）</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下降</w:t>
            </w:r>
          </w:p>
        </w:tc>
        <w:tc>
          <w:tcPr>
            <w:tcW w:w="1466"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4周以内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609"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p>
        </w:tc>
        <w:tc>
          <w:tcPr>
            <w:tcW w:w="206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R7 7800X3D (8核)</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超威半导体</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（AMD）</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平稳</w:t>
            </w:r>
          </w:p>
        </w:tc>
        <w:tc>
          <w:tcPr>
            <w:tcW w:w="1466"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4周以内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609"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p>
        </w:tc>
        <w:tc>
          <w:tcPr>
            <w:tcW w:w="206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i7-13700H</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 xml:space="preserve"> (14核)</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 xml:space="preserve">英特尔 </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（Intel）</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平稳</w:t>
            </w:r>
          </w:p>
        </w:tc>
        <w:tc>
          <w:tcPr>
            <w:tcW w:w="1466"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OEM周期</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8周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609"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p>
        </w:tc>
        <w:tc>
          <w:tcPr>
            <w:tcW w:w="206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R7 7840HS</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 xml:space="preserve"> (8核)</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超威半导体</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（AMD）</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平稳</w:t>
            </w:r>
          </w:p>
        </w:tc>
        <w:tc>
          <w:tcPr>
            <w:tcW w:w="1466"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OEM周期</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6-8周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609"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sz w:val="20"/>
                <w:szCs w:val="20"/>
                <w:lang w:val="en-US"/>
              </w:rPr>
            </w:pPr>
            <w:r>
              <w:rPr>
                <w:rFonts w:hint="default" w:ascii="微软雅黑" w:hAnsi="微软雅黑" w:eastAsia="微软雅黑" w:cs="微软雅黑"/>
                <w:sz w:val="20"/>
                <w:szCs w:val="20"/>
                <w:lang w:val="en-US"/>
              </w:rPr>
              <w:t>服务器</w:t>
            </w:r>
          </w:p>
        </w:tc>
        <w:tc>
          <w:tcPr>
            <w:tcW w:w="206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 xml:space="preserve">EPYC 9654 </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(96核)</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超威半导体</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（AMD）</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上涨</w:t>
            </w:r>
          </w:p>
        </w:tc>
        <w:tc>
          <w:tcPr>
            <w:tcW w:w="1466"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609" w:type="dxa"/>
            <w:vMerge w:val="continue"/>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微软雅黑" w:hAnsi="微软雅黑" w:eastAsia="微软雅黑" w:cs="微软雅黑"/>
                <w:sz w:val="20"/>
                <w:szCs w:val="20"/>
              </w:rPr>
            </w:pPr>
          </w:p>
        </w:tc>
        <w:tc>
          <w:tcPr>
            <w:tcW w:w="206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EPYC 8534P</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 xml:space="preserve"> (32核)</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超威半导体</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（AMD）</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平稳</w:t>
            </w:r>
          </w:p>
        </w:tc>
        <w:tc>
          <w:tcPr>
            <w:tcW w:w="1466"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609" w:type="dxa"/>
            <w:vMerge w:val="continue"/>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微软雅黑" w:hAnsi="微软雅黑" w:eastAsia="微软雅黑" w:cs="微软雅黑"/>
                <w:sz w:val="20"/>
                <w:szCs w:val="20"/>
              </w:rPr>
            </w:pPr>
          </w:p>
        </w:tc>
        <w:tc>
          <w:tcPr>
            <w:tcW w:w="206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Xeon Platinum 8480+ (56核)</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 xml:space="preserve">英特尔 </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（Intel）</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下降</w:t>
            </w:r>
          </w:p>
        </w:tc>
        <w:tc>
          <w:tcPr>
            <w:tcW w:w="1466"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1609" w:type="dxa"/>
            <w:vMerge w:val="continue"/>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微软雅黑" w:hAnsi="微软雅黑" w:eastAsia="微软雅黑" w:cs="微软雅黑"/>
                <w:sz w:val="20"/>
                <w:szCs w:val="20"/>
              </w:rPr>
            </w:pPr>
          </w:p>
        </w:tc>
        <w:tc>
          <w:tcPr>
            <w:tcW w:w="206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Xeon Silver 4410 (20核)</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 xml:space="preserve">英特尔 </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eastAsia="微软雅黑" w:cs="微软雅黑"/>
                <w:i w:val="0"/>
                <w:iCs w:val="0"/>
                <w:color w:val="404040"/>
                <w:kern w:val="0"/>
                <w:sz w:val="20"/>
                <w:szCs w:val="20"/>
                <w:u w:val="none"/>
                <w:lang w:val="en-US" w:eastAsia="zh-CN" w:bidi="ar"/>
              </w:rPr>
              <w:t>（Intel）</w:t>
            </w:r>
          </w:p>
        </w:tc>
        <w:tc>
          <w:tcPr>
            <w:tcW w:w="1548"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平稳</w:t>
            </w:r>
          </w:p>
        </w:tc>
        <w:tc>
          <w:tcPr>
            <w:tcW w:w="1466"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微软雅黑" w:hAnsi="微软雅黑" w:eastAsia="微软雅黑" w:cs="微软雅黑"/>
                <w:i w:val="0"/>
                <w:iCs w:val="0"/>
                <w:color w:val="404040"/>
                <w:kern w:val="0"/>
                <w:sz w:val="20"/>
                <w:szCs w:val="20"/>
                <w:u w:val="none"/>
                <w:lang w:val="en-US" w:eastAsia="zh-CN" w:bidi="ar"/>
              </w:rPr>
            </w:pPr>
            <w:r>
              <w:rPr>
                <w:rFonts w:hint="eastAsia" w:ascii="微软雅黑" w:hAnsi="微软雅黑" w:cs="微软雅黑"/>
                <w:i w:val="0"/>
                <w:iCs w:val="0"/>
                <w:color w:val="404040"/>
                <w:kern w:val="0"/>
                <w:sz w:val="20"/>
                <w:szCs w:val="20"/>
                <w:u w:val="none"/>
                <w:lang w:val="en-US" w:eastAsia="zh-CN" w:bidi="ar"/>
              </w:rPr>
              <w:t>4-6</w:t>
            </w:r>
          </w:p>
        </w:tc>
      </w:tr>
    </w:tbl>
    <w:p>
      <w:pPr>
        <w:rPr>
          <w:rFonts w:hint="eastAsia" w:eastAsia="微软雅黑"/>
          <w:lang w:val="en-US" w:eastAsia="zh-CN"/>
        </w:rPr>
      </w:pPr>
    </w:p>
    <w:bookmarkEnd w:id="30"/>
    <w:bookmarkEnd w:id="31"/>
    <w:p>
      <w:pPr>
        <w:keepNext w:val="0"/>
        <w:keepLines w:val="0"/>
        <w:pageBreakBefore w:val="0"/>
        <w:widowControl w:val="0"/>
        <w:numPr>
          <w:ilvl w:val="0"/>
          <w:numId w:val="18"/>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b/>
          <w:bCs/>
          <w:lang w:val="en-US" w:eastAsia="zh-CN"/>
        </w:rPr>
      </w:pPr>
      <w:r>
        <w:rPr>
          <w:rFonts w:hint="eastAsia" w:ascii="微软雅黑" w:hAnsi="微软雅黑" w:cs="微软雅黑"/>
          <w:b/>
          <w:bCs/>
          <w:lang w:val="en-US" w:eastAsia="zh-CN"/>
        </w:rPr>
        <w:t>服务器和消费级CPU市场走势分化显著</w:t>
      </w:r>
    </w:p>
    <w:p>
      <w:pPr>
        <w:keepNext w:val="0"/>
        <w:keepLines w:val="0"/>
        <w:pageBreakBefore w:val="0"/>
        <w:widowControl w:val="0"/>
        <w:numPr>
          <w:ilvl w:val="0"/>
          <w:numId w:val="19"/>
        </w:numPr>
        <w:kinsoku/>
        <w:wordWrap/>
        <w:overflowPunct/>
        <w:topLinePunct w:val="0"/>
        <w:autoSpaceDE/>
        <w:autoSpaceDN/>
        <w:bidi w:val="0"/>
        <w:adjustRightInd/>
        <w:snapToGrid/>
        <w:spacing w:before="157" w:beforeLines="50" w:line="440" w:lineRule="exact"/>
        <w:textAlignment w:val="auto"/>
        <w:rPr>
          <w:rFonts w:hint="eastAsia" w:ascii="微软雅黑" w:hAnsi="微软雅黑" w:cs="微软雅黑"/>
          <w:b/>
          <w:bCs/>
          <w:lang w:val="en-US" w:eastAsia="zh-CN"/>
        </w:rPr>
      </w:pPr>
      <w:r>
        <w:rPr>
          <w:rFonts w:hint="eastAsia" w:ascii="微软雅黑" w:hAnsi="微软雅黑" w:cs="微软雅黑"/>
          <w:b/>
          <w:bCs/>
          <w:lang w:val="en-US" w:eastAsia="zh-CN"/>
        </w:rPr>
        <w:t>产品动态</w:t>
      </w:r>
    </w:p>
    <w:p>
      <w:pPr>
        <w:keepNext w:val="0"/>
        <w:keepLines w:val="0"/>
        <w:pageBreakBefore w:val="0"/>
        <w:widowControl w:val="0"/>
        <w:numPr>
          <w:ilvl w:val="0"/>
          <w:numId w:val="20"/>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消费电子：</w:t>
      </w:r>
      <w:r>
        <w:rPr>
          <w:rFonts w:hint="eastAsia" w:ascii="微软雅黑" w:hAnsi="微软雅黑" w:cs="微软雅黑"/>
          <w:b w:val="0"/>
          <w:bCs w:val="0"/>
          <w:lang w:val="en-US" w:eastAsia="zh-CN"/>
        </w:rPr>
        <w:t>从交期和价格走势来看，消费级市场则需求疲软，目前市场上主流的英特尔、AMD消费CPU仍面临价格下跌境况。PC出货量低迷背景下中低端CPU供过于求、价格松动，移动端CPU保持较平稳的价格趋势和交期。而高性能游戏处理器仍有一定刚需支撑保持比较平稳的价格趋势，交期略高一些。</w:t>
      </w:r>
    </w:p>
    <w:p>
      <w:pPr>
        <w:keepNext w:val="0"/>
        <w:keepLines w:val="0"/>
        <w:pageBreakBefore w:val="0"/>
        <w:widowControl w:val="0"/>
        <w:numPr>
          <w:ilvl w:val="0"/>
          <w:numId w:val="20"/>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服务器：</w:t>
      </w:r>
      <w:r>
        <w:rPr>
          <w:rFonts w:hint="eastAsia" w:ascii="微软雅黑" w:hAnsi="微软雅黑" w:cs="微软雅黑"/>
          <w:b w:val="0"/>
          <w:bCs w:val="0"/>
          <w:lang w:val="en-US" w:eastAsia="zh-CN"/>
        </w:rPr>
        <w:t>受惠于AI和云计算拉动，服务器CPU需求旺盛但也面临算力芯片竞争压力。其中AMD的EPYC 9654（96核）尤为明显，价格看涨，交期维持8-12周。可以看出，服务器C</w:t>
      </w:r>
      <w:r>
        <w:rPr>
          <w:rFonts w:hint="eastAsia" w:ascii="微软雅黑" w:hAnsi="微软雅黑" w:cs="微软雅黑"/>
          <w:lang w:val="en-US" w:eastAsia="zh-CN"/>
        </w:rPr>
        <w:t>PU市场在强劲需求和价格战中前行，厂商盈利承压但份额争夺更为激烈。</w:t>
      </w:r>
    </w:p>
    <w:p>
      <w:pPr>
        <w:keepNext w:val="0"/>
        <w:keepLines w:val="0"/>
        <w:pageBreakBefore w:val="0"/>
        <w:widowControl w:val="0"/>
        <w:numPr>
          <w:ilvl w:val="0"/>
          <w:numId w:val="19"/>
        </w:numPr>
        <w:kinsoku/>
        <w:wordWrap/>
        <w:overflowPunct/>
        <w:topLinePunct w:val="0"/>
        <w:autoSpaceDE/>
        <w:autoSpaceDN/>
        <w:bidi w:val="0"/>
        <w:adjustRightInd/>
        <w:snapToGrid/>
        <w:spacing w:before="313" w:beforeLines="100" w:line="440" w:lineRule="exact"/>
        <w:textAlignment w:val="auto"/>
        <w:rPr>
          <w:rFonts w:hint="eastAsia" w:ascii="微软雅黑" w:hAnsi="微软雅黑" w:cs="微软雅黑"/>
          <w:b/>
          <w:bCs/>
          <w:lang w:val="en-US" w:eastAsia="zh-CN"/>
        </w:rPr>
      </w:pPr>
      <w:r>
        <w:rPr>
          <w:rFonts w:hint="eastAsia" w:ascii="微软雅黑" w:hAnsi="微软雅黑" w:cs="微软雅黑"/>
          <w:b/>
          <w:bCs/>
          <w:lang w:val="en-US" w:eastAsia="zh-CN"/>
        </w:rPr>
        <w:t>市场趋势</w:t>
      </w:r>
    </w:p>
    <w:p>
      <w:pPr>
        <w:keepNext w:val="0"/>
        <w:keepLines w:val="0"/>
        <w:pageBreakBefore w:val="0"/>
        <w:widowControl w:val="0"/>
        <w:numPr>
          <w:ilvl w:val="0"/>
          <w:numId w:val="21"/>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AI成为绝对核心驱动力，竞争进入“全栈”生态阶段：</w:t>
      </w:r>
      <w:r>
        <w:rPr>
          <w:rFonts w:hint="eastAsia" w:ascii="微软雅黑" w:hAnsi="微软雅黑" w:cs="微软雅黑"/>
          <w:b w:val="0"/>
          <w:bCs w:val="0"/>
          <w:lang w:val="en-US" w:eastAsia="zh-CN"/>
        </w:rPr>
        <w:t>体验为王，AI内嵌成为标配，各大厂商竞争焦点从单纯比拼硬件参数（如CPU主频），转向如何将AI能力无缝融入用户体验。例如，PC的本地AI助手、汽车的智能安全设计。厂商必须快速迭代，提供更直观、更智能、更安全的交互功能来吸引消费者。</w:t>
      </w:r>
    </w:p>
    <w:p>
      <w:pPr>
        <w:keepNext w:val="0"/>
        <w:keepLines w:val="0"/>
        <w:pageBreakBefore w:val="0"/>
        <w:widowControl w:val="0"/>
        <w:numPr>
          <w:ilvl w:val="0"/>
          <w:numId w:val="21"/>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效率与生态决定一切：</w:t>
      </w:r>
      <w:r>
        <w:rPr>
          <w:rFonts w:hint="eastAsia" w:ascii="微软雅黑" w:hAnsi="微软雅黑" w:cs="微软雅黑"/>
          <w:b w:val="0"/>
          <w:bCs w:val="0"/>
          <w:lang w:val="en-US" w:eastAsia="zh-CN"/>
        </w:rPr>
        <w:t>市场从通用型采购转向基于工作负载的精准优化。x86、ARM、GPU加速等不同架构共存，竞争的核心是每瓦性能、总拥有成本以及整个软件生态的成熟度。企业级客户的业务需求与成本控制。厂商通过战略合作（如英特尔-英伟达）构建全栈解决方案，以赢得大客户的长期订单。</w:t>
      </w:r>
    </w:p>
    <w:p>
      <w:pPr>
        <w:keepNext w:val="0"/>
        <w:keepLines w:val="0"/>
        <w:pageBreakBefore w:val="0"/>
        <w:widowControl w:val="0"/>
        <w:numPr>
          <w:ilvl w:val="0"/>
          <w:numId w:val="21"/>
        </w:numPr>
        <w:kinsoku/>
        <w:wordWrap/>
        <w:overflowPunct/>
        <w:topLinePunct w:val="0"/>
        <w:autoSpaceDE/>
        <w:autoSpaceDN/>
        <w:bidi w:val="0"/>
        <w:adjustRightInd/>
        <w:snapToGrid/>
        <w:spacing w:before="157" w:beforeLines="50" w:line="440" w:lineRule="exact"/>
        <w:ind w:left="420" w:leftChars="0" w:hanging="420" w:firstLineChars="0"/>
        <w:textAlignment w:val="auto"/>
        <w:rPr>
          <w:rFonts w:hint="eastAsia" w:ascii="微软雅黑" w:hAnsi="微软雅黑" w:cs="微软雅黑"/>
          <w:lang w:val="en-US" w:eastAsia="zh-CN"/>
        </w:rPr>
      </w:pPr>
      <w:r>
        <w:rPr>
          <w:rFonts w:hint="eastAsia" w:ascii="微软雅黑" w:hAnsi="微软雅黑" w:cs="微软雅黑"/>
          <w:b/>
          <w:bCs/>
          <w:lang w:val="en-US" w:eastAsia="zh-CN"/>
        </w:rPr>
        <w:t>算力需求分化，场景定制化成为关键：</w:t>
      </w:r>
      <w:r>
        <w:rPr>
          <w:rFonts w:hint="eastAsia" w:ascii="微软雅黑" w:hAnsi="微软雅黑" w:cs="微软雅黑"/>
          <w:b w:val="0"/>
          <w:bCs w:val="0"/>
          <w:lang w:val="en-US" w:eastAsia="zh-CN"/>
        </w:rPr>
        <w:t>“一刀切”的通用芯片时代正在过去。市场要求为特定应用场景深度优化的定制化解决方案。谁能更好地理解并满足终端场景的独特需求（如工业网络协议、车规认证、AI推理负载），谁就能赢得市场。</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40" w:lineRule="exact"/>
        <w:jc w:val="both"/>
        <w:textAlignment w:val="auto"/>
        <w:rPr>
          <w:rFonts w:hint="eastAsia" w:ascii="微软雅黑" w:hAnsi="微软雅黑" w:cs="微软雅黑"/>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40" w:lineRule="exact"/>
        <w:jc w:val="both"/>
        <w:textAlignment w:val="auto"/>
        <w:rPr>
          <w:rFonts w:hint="eastAsia" w:ascii="微软雅黑" w:hAnsi="微软雅黑" w:cs="微软雅黑"/>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40" w:lineRule="exact"/>
        <w:jc w:val="both"/>
        <w:textAlignment w:val="auto"/>
        <w:rPr>
          <w:rFonts w:hint="eastAsia" w:ascii="微软雅黑" w:hAnsi="微软雅黑" w:cs="微软雅黑"/>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40" w:lineRule="exact"/>
        <w:jc w:val="both"/>
        <w:textAlignment w:val="auto"/>
        <w:rPr>
          <w:rFonts w:hint="eastAsia" w:ascii="微软雅黑" w:hAnsi="微软雅黑" w:cs="微软雅黑"/>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40" w:lineRule="exact"/>
        <w:jc w:val="both"/>
        <w:textAlignment w:val="auto"/>
        <w:rPr>
          <w:rFonts w:hint="eastAsia" w:ascii="微软雅黑" w:hAnsi="微软雅黑" w:cs="微软雅黑"/>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40" w:lineRule="exact"/>
        <w:jc w:val="both"/>
        <w:textAlignment w:val="auto"/>
        <w:rPr>
          <w:rFonts w:hint="eastAsia" w:ascii="微软雅黑" w:hAnsi="微软雅黑" w:cs="微软雅黑"/>
          <w:lang w:val="en-US" w:eastAsia="zh-CN"/>
        </w:rPr>
      </w:pPr>
    </w:p>
    <w:p>
      <w:pPr>
        <w:rPr>
          <w:rFonts w:hint="eastAsia" w:ascii="微软雅黑" w:hAnsi="微软雅黑" w:eastAsia="微软雅黑" w:cs="微软雅黑"/>
          <w:sz w:val="28"/>
          <w:szCs w:val="28"/>
        </w:rPr>
      </w:pPr>
      <w:bookmarkStart w:id="32" w:name="_Toc182324551"/>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p>
    <w:p>
      <w:pPr>
        <w:pStyle w:val="2"/>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微软雅黑" w:hAnsi="微软雅黑" w:eastAsia="微软雅黑" w:cs="微软雅黑"/>
          <w:sz w:val="28"/>
          <w:szCs w:val="28"/>
        </w:rPr>
      </w:pPr>
      <w:bookmarkStart w:id="33" w:name="_Toc3908"/>
    </w:p>
    <w:p>
      <w:pPr>
        <w:rPr>
          <w:rFonts w:hint="eastAsia"/>
        </w:rPr>
      </w:pPr>
    </w:p>
    <w:p>
      <w:pPr>
        <w:pStyle w:val="2"/>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微软雅黑" w:hAnsi="微软雅黑" w:eastAsia="微软雅黑" w:cs="微软雅黑"/>
          <w:sz w:val="28"/>
          <w:szCs w:val="28"/>
        </w:rPr>
      </w:pPr>
    </w:p>
    <w:p>
      <w:pPr>
        <w:rPr>
          <w:rFonts w:hint="eastAsia"/>
        </w:rPr>
      </w:pPr>
    </w:p>
    <w:p>
      <w:pPr>
        <w:pStyle w:val="2"/>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信息来源</w:t>
      </w:r>
      <w:bookmarkEnd w:id="33"/>
    </w:p>
    <w:bookmarkEnd w:id="32"/>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 xml:space="preserve">Reuters. "Trump to impose tariffs on semiconductor imports from firms not moving production to US," 2025. </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Reuters. "China cautions tech firms over Nvidia H20 AI chip purchases,"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 xml:space="preserve">Reuters. “South Korea August exports miss forecast as US tariffs weigh,” Sep 1, 2025. </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 xml:space="preserve">Reuters. “South Korea export growth seen slowing on higher US tariffs,” Aug 27, 2025. </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Reuters. “Japan's manufacturers’ mood best in three years after tariff deal,” Sep 9,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Taiwan’s Ministry of Economic Affairs (MOEA). “Taiwan announces tech export rules over South Africa office dispute,”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 xml:space="preserve">DatacenterDynamics. “Taiwan imposes export restrictions on chips bound for South Africa,” 2025. </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 xml:space="preserve">Taipei Times. “Taiwan curbs its exports of chips to South Africa over national security concerns,” 2025. </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Digitimes Asia. “Taiwan curbs chip exports to South Africa in rare diplomatic clash,”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 xml:space="preserve">S&amp;P Global Market Intelligence. “Manufacturing PMI at 14-month high in August amid broad improvement in worldwide production trends.” Sep 3, 2025. </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National Bureau of Statistics (China). “China’s Manufacturing PMI for August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Reuters. “South Korea factory activity shrinks for 7th month on higher US tariffs, PMI shows 2025-09-01.</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Trading Economics / S&amp;P Global. “United States Manufacturing PMI, August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YCharts. “10 Year Treasury Rate – Real-Time &amp; Historical Yield Trends”, Sep 24,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YCharts. “10 Year Treasury Rate (Market Daily)”, Sep 23,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Reuters. “US new home sales surge in August 2025, up 20.5% month-to-month.” Sep 24,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Securities Times. “Witnessing History! Overnight, Full Market Breakout!,” September 19,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Bloomberg. “Philadelphia Semiconductor Index (SOX) Historical Data, August-September 2025,” September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NVIDIA Corporation. “NVIDIA Announces Strategic Investment and Broad Collaboration with Intel,” September 17,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Federal Reserve. “Federal Reserve issues FOMC statement,” September 17,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Citi Research. “US Economics Flash: FOMC Reaction - A More Dovish Hold,” September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Goldman Sachs Asset Management. “Economic and Market Outlook: September 2025,” September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Societe Generale Strategy. “Equity Market Outlook: Adding Risk in a Dovish Shift,” September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Reuters. “Intel shares soar on NVIDIA deal, fueling chip stock rally,” September 18,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EET China. “美光业绩大涨，明年的HBM即将售罄！,”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CLS.cn. “美光财报会拆解半导体供需：DRAM/NAND库存下降 HBM成增长核心,”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TrendForce. “SK hynix reportedly negotiates price adjustments with customers following Micron and Samsung,”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Analog Devices. “Analog Devices Reports Fiscal Third Quarter 2025 Financial Results,”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Espressif. “乐鑫科技 2025年半年度报告,”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Podms.com. “希荻微(688173) 2025年半年度报告摘要,”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Reuters. “Broadcom shares rally as $10 billion chip deal shows AI strategy paying off,”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Microchip Technology. “Deca and Silicon Storage Technology Announce Strategic Collaboration to Enable NVM Chiplet Solutions,”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GigaDevice. “兆易创新 官方新闻动态,”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STCN. “芯海科技上半年实现营收3.74亿元 加大AI领域投入提供全栈式解决方案,”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Renesas. “Renesas Delivers New Motor Control MCUs with Industry-Leading Performance and High-Speed Networking Interfaces,”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SK hynix. “SK hynix Completes World-First HBM4 Development,”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Reuters. “US makes it harder for SK Hynix, Samsung to make chips in China,”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Taipei Times. “TSMC to build advanced 1.4nm fab,”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NVIDIA Newsroom. “OpenAI and NVIDIA Announce Strategic Partnership to Deploy 10 Gigawatts of NVIDIA Systems,”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AInvest (TickerBuzz). “NVIDIA and Intel Forge $50 Billion AI Alliance to Revolutionize Semiconductor Industry</w:t>
      </w:r>
      <w:r>
        <w:rPr>
          <w:rFonts w:hint="eastAsia" w:ascii="微软雅黑" w:hAnsi="微软雅黑" w:cs="微软雅黑"/>
          <w:lang w:val="en-US" w:eastAsia="zh-CN"/>
        </w:rPr>
        <w:t>,</w:t>
      </w:r>
      <w:r>
        <w:rPr>
          <w:rFonts w:hint="default" w:ascii="微软雅黑" w:hAnsi="微软雅黑" w:cs="微软雅黑"/>
          <w:lang w:val="en-US" w:eastAsia="zh-CN"/>
        </w:rPr>
        <w:t>”</w:t>
      </w:r>
      <w:r>
        <w:rPr>
          <w:rFonts w:hint="eastAsia" w:ascii="微软雅黑" w:hAnsi="微软雅黑" w:eastAsia="微软雅黑" w:cs="微软雅黑"/>
          <w:lang w:val="en-US" w:eastAsia="zh-CN"/>
        </w:rPr>
        <w:t>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 xml:space="preserve">Intel Corporation. “Intel and Trump Administration Reach Historic Agreement to Accelerate American Technology and Manufacturing Leadership,” 2025. </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OPB / AP. “Intel agrees to give U.S. government $8.9B stake in its company,”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新浪财经. “美光销售额增长46%，收益超预期,”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新浪财经. “摩尔线程顺利过会，“国产GPU第一股”即将诞生”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界面新闻. “摩尔线程 IPO 成功过会，科创芯片ETF指数本周涨超…” 2025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eastAsia="微软雅黑" w:cs="微软雅黑"/>
          <w:color w:val="auto"/>
          <w:lang w:val="en-US" w:eastAsia="zh-CN"/>
        </w:rPr>
      </w:pPr>
      <w:r>
        <w:rPr>
          <w:rFonts w:hint="eastAsia" w:ascii="微软雅黑" w:hAnsi="微软雅黑" w:cs="微软雅黑"/>
          <w:color w:val="auto"/>
          <w:lang w:val="en-US" w:eastAsia="zh-CN"/>
        </w:rPr>
        <w:t>国际电子商情，“AI芯片初创公司Groq融资狂吸7.5亿美元”，9.18</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英伟达官网，“OpenAI 和 NVIDIA 宣布达成合作，部署 10 吉瓦 NVIDIA 系统”，9.22</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新浪财经，“阳光电源重磅出击！拟在埃及建设10GW储能电池工厂”，9.17</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财联社，“特斯拉获准在亚利桑那州进行自动驾驶汽车测试”，9.20</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国际电子商情，“iPhone17没有涨价，核心供应商仍以中国企业居多”，9.10</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ABB官网，“ABB智慧建筑与联塑集团达成战略合作，共筑智慧建筑机电零售市场新格局”，9.17</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汇川技术官网，“汇川四大架构重磅发布：重构智能制造底层逻辑，定义工控下一个十年”，9.1</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汽车之家，“长城V6火炮正式上市，售价22.98万元，搭载3.0T V6双涡轮动力”，9.24</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证券时报网，“三大运营商均已布局eSIM手机业务”，9.11</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color w:val="auto"/>
          <w:lang w:val="en-US" w:eastAsia="zh-CN"/>
        </w:rPr>
        <w:t>搜狐，“【飞利浦&amp;Masimo】宣布创新合作，推进患者监护测量技术”，9.11</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lang w:val="en-US" w:eastAsia="zh-CN"/>
        </w:rPr>
        <w:t>中银证券报告,“需求致行业价格普涨，AI 端侧存储解决方案加速迭代”9.23</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lang w:val="en-US" w:eastAsia="zh-CN"/>
        </w:rPr>
        <w:t>Trendforce集邦咨询，“研报 | AI推理催化大容量储存产品结构性改变，Nearline SSD需求急升”9.22</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lang w:val="en-US" w:eastAsia="zh-CN"/>
        </w:rPr>
        <w:t>Trendforce集邦咨询，“研报 | AI推理需求导致Nearline HDD严重缺货，预计2026年QLC SSD出货有望趁势爆发”9.15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lang w:val="en-US" w:eastAsia="zh-CN"/>
        </w:rPr>
        <w:t>COMPOTECHAisa“瑞薩推出具有業界領先性能和高速網路介面的新型馬達控制MCU”，9.25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lang w:val="en-US" w:eastAsia="zh-CN"/>
        </w:rPr>
        <w:t>21ic.com，“英飞凌推出AURIX™ TC4x软件，全面提升汽车应用的质量、功能安全与信息安全”，9.15</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lang w:val="en-US" w:eastAsia="zh-CN"/>
        </w:rPr>
        <w:t>微芯科技官网，“Product Roundup: September 2025”，9月</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lang w:val="en-US" w:eastAsia="zh-CN"/>
        </w:rPr>
        <w:t>招商电子行研报告，“海内外 AI 算力芯片高景气延续，存储等板块边际复苏趋势向上”，9.14</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lang w:val="en-US" w:eastAsia="zh-CN"/>
        </w:rPr>
        <w:t>新浪财经，英飞凌计划 2028~2029 年量产车用 RISC-V MCU 微控制器，9.12</w:t>
      </w:r>
    </w:p>
    <w:p>
      <w:pPr>
        <w:pStyle w:val="25"/>
        <w:keepNext w:val="0"/>
        <w:keepLines w:val="0"/>
        <w:pageBreakBefore w:val="0"/>
        <w:widowControl w:val="0"/>
        <w:numPr>
          <w:ilvl w:val="0"/>
          <w:numId w:val="22"/>
        </w:numPr>
        <w:kinsoku/>
        <w:wordWrap/>
        <w:overflowPunct/>
        <w:topLinePunct w:val="0"/>
        <w:autoSpaceDE/>
        <w:autoSpaceDN/>
        <w:bidi w:val="0"/>
        <w:adjustRightInd/>
        <w:snapToGrid/>
        <w:spacing w:line="440" w:lineRule="exact"/>
        <w:ind w:firstLine="210"/>
        <w:textAlignment w:val="auto"/>
        <w:rPr>
          <w:rFonts w:hint="eastAsia" w:ascii="微软雅黑" w:hAnsi="微软雅黑" w:cs="微软雅黑"/>
          <w:color w:val="auto"/>
          <w:lang w:val="en-US" w:eastAsia="zh-CN"/>
        </w:rPr>
      </w:pPr>
      <w:r>
        <w:rPr>
          <w:rFonts w:hint="eastAsia" w:ascii="微软雅黑" w:hAnsi="微软雅黑" w:cs="微软雅黑"/>
          <w:lang w:val="en-US" w:eastAsia="zh-CN"/>
        </w:rPr>
        <w:t>中电网，“瑞萨电子推出针对未来工业和机器人应用的旗舰产品RA8T2 MCU 超高算力、高实时性、支持TSN及多协议工业以太网”，9.25</w:t>
      </w:r>
    </w:p>
    <w:p>
      <w:pPr>
        <w:spacing w:line="600" w:lineRule="exact"/>
        <w:jc w:val="both"/>
        <w:outlineLvl w:val="0"/>
        <w:rPr>
          <w:rFonts w:hint="default" w:ascii="微软雅黑" w:hAnsi="微软雅黑" w:eastAsia="微软雅黑" w:cs="微软雅黑"/>
          <w:b/>
          <w:bCs/>
          <w:sz w:val="32"/>
          <w:szCs w:val="40"/>
          <w:lang w:val="en-US" w:eastAsia="zh-CN"/>
        </w:rPr>
      </w:pPr>
      <w:bookmarkStart w:id="34" w:name="_Toc182324552"/>
    </w:p>
    <w:p>
      <w:pPr>
        <w:spacing w:line="600" w:lineRule="exact"/>
        <w:ind w:firstLine="320"/>
        <w:jc w:val="center"/>
        <w:outlineLvl w:val="0"/>
        <w:rPr>
          <w:rFonts w:hint="eastAsia" w:ascii="微软雅黑" w:hAnsi="微软雅黑" w:eastAsia="微软雅黑" w:cs="微软雅黑"/>
          <w:b/>
          <w:bCs/>
          <w:sz w:val="32"/>
          <w:szCs w:val="40"/>
        </w:rPr>
      </w:pPr>
    </w:p>
    <w:p>
      <w:pPr>
        <w:spacing w:line="600" w:lineRule="exact"/>
        <w:ind w:firstLine="320"/>
        <w:jc w:val="center"/>
        <w:outlineLvl w:val="0"/>
        <w:rPr>
          <w:rFonts w:hint="eastAsia" w:ascii="微软雅黑" w:hAnsi="微软雅黑" w:eastAsia="微软雅黑" w:cs="微软雅黑"/>
          <w:b/>
          <w:bCs/>
          <w:sz w:val="32"/>
          <w:szCs w:val="40"/>
        </w:rPr>
      </w:pPr>
    </w:p>
    <w:p>
      <w:pPr>
        <w:spacing w:line="600" w:lineRule="exact"/>
        <w:ind w:firstLine="320"/>
        <w:jc w:val="center"/>
        <w:outlineLvl w:val="0"/>
        <w:rPr>
          <w:rFonts w:hint="eastAsia" w:ascii="微软雅黑" w:hAnsi="微软雅黑" w:eastAsia="微软雅黑" w:cs="微软雅黑"/>
          <w:b/>
          <w:bCs/>
          <w:sz w:val="32"/>
          <w:szCs w:val="40"/>
        </w:rPr>
      </w:pPr>
    </w:p>
    <w:p>
      <w:pPr>
        <w:spacing w:line="600" w:lineRule="exact"/>
        <w:ind w:firstLine="320"/>
        <w:jc w:val="center"/>
        <w:outlineLvl w:val="0"/>
        <w:rPr>
          <w:rFonts w:hint="eastAsia" w:ascii="微软雅黑" w:hAnsi="微软雅黑" w:eastAsia="微软雅黑" w:cs="微软雅黑"/>
          <w:b/>
          <w:bCs/>
          <w:sz w:val="32"/>
          <w:szCs w:val="40"/>
        </w:rPr>
      </w:pPr>
    </w:p>
    <w:p>
      <w:pPr>
        <w:spacing w:line="600" w:lineRule="exact"/>
        <w:ind w:firstLine="320"/>
        <w:jc w:val="center"/>
        <w:outlineLvl w:val="0"/>
        <w:rPr>
          <w:rFonts w:hint="eastAsia" w:ascii="微软雅黑" w:hAnsi="微软雅黑" w:eastAsia="微软雅黑" w:cs="微软雅黑"/>
          <w:b/>
          <w:bCs/>
          <w:sz w:val="32"/>
          <w:szCs w:val="40"/>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0"/>
        <w:rPr>
          <w:rFonts w:hint="eastAsia" w:ascii="微软雅黑" w:hAnsi="微软雅黑" w:eastAsia="微软雅黑" w:cs="微软雅黑"/>
          <w:b/>
          <w:bCs/>
          <w:sz w:val="32"/>
          <w:szCs w:val="40"/>
        </w:rPr>
      </w:pPr>
      <w:bookmarkStart w:id="35" w:name="_Toc21160"/>
    </w:p>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0"/>
        <w:rPr>
          <w:rFonts w:hint="eastAsia" w:ascii="微软雅黑" w:hAnsi="微软雅黑" w:eastAsia="微软雅黑" w:cs="微软雅黑"/>
          <w:b/>
          <w:bCs/>
          <w:sz w:val="32"/>
          <w:szCs w:val="40"/>
        </w:rPr>
      </w:pPr>
    </w:p>
    <w:p>
      <w:pPr>
        <w:keepNext w:val="0"/>
        <w:keepLines w:val="0"/>
        <w:pageBreakBefore w:val="0"/>
        <w:widowControl w:val="0"/>
        <w:kinsoku/>
        <w:wordWrap/>
        <w:overflowPunct/>
        <w:topLinePunct w:val="0"/>
        <w:autoSpaceDE/>
        <w:autoSpaceDN/>
        <w:bidi w:val="0"/>
        <w:adjustRightInd/>
        <w:snapToGrid/>
        <w:spacing w:line="600" w:lineRule="exact"/>
        <w:ind w:firstLine="317"/>
        <w:jc w:val="center"/>
        <w:textAlignment w:val="auto"/>
        <w:outlineLvl w:val="0"/>
        <w:rPr>
          <w:rFonts w:hint="eastAsia" w:ascii="微软雅黑" w:hAnsi="微软雅黑" w:eastAsia="微软雅黑" w:cs="微软雅黑"/>
          <w:b/>
          <w:bCs/>
          <w:sz w:val="32"/>
          <w:szCs w:val="40"/>
        </w:rPr>
      </w:pPr>
      <w:r>
        <w:rPr>
          <w:rFonts w:hint="eastAsia" w:ascii="微软雅黑" w:hAnsi="微软雅黑" w:eastAsia="微软雅黑" w:cs="微软雅黑"/>
          <w:b/>
          <w:bCs/>
          <w:sz w:val="32"/>
          <w:szCs w:val="40"/>
        </w:rPr>
        <w:t>免责声明</w:t>
      </w:r>
      <w:bookmarkEnd w:id="34"/>
      <w:bookmarkEnd w:id="35"/>
    </w:p>
    <w:p>
      <w:pPr>
        <w:spacing w:line="48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安芯易电子商务（深圳）有限公司(下称“安芯易公司”)所发布的月度报告由安芯易公司市场部基于现已公开的资料、信息、研究报告等进行整理编制而成。</w:t>
      </w:r>
    </w:p>
    <w:p>
      <w:pPr>
        <w:spacing w:line="48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color w:val="000000"/>
          <w:kern w:val="0"/>
          <w:sz w:val="28"/>
          <w:szCs w:val="28"/>
          <w:lang w:bidi="ar"/>
        </w:rPr>
        <w:t>本报告所载的资料、意见及推测仅反映</w:t>
      </w:r>
      <w:r>
        <w:rPr>
          <w:rFonts w:hint="eastAsia" w:ascii="微软雅黑" w:hAnsi="微软雅黑" w:eastAsia="微软雅黑" w:cs="微软雅黑"/>
          <w:sz w:val="28"/>
          <w:szCs w:val="28"/>
        </w:rPr>
        <w:t>安芯易公司</w:t>
      </w:r>
      <w:r>
        <w:rPr>
          <w:rFonts w:hint="eastAsia" w:ascii="微软雅黑" w:hAnsi="微软雅黑" w:eastAsia="微软雅黑" w:cs="微软雅黑"/>
          <w:color w:val="000000"/>
          <w:kern w:val="0"/>
          <w:sz w:val="28"/>
          <w:szCs w:val="28"/>
          <w:lang w:bidi="ar"/>
        </w:rPr>
        <w:t>在报告发布当期的判断、观点</w:t>
      </w:r>
      <w:r>
        <w:rPr>
          <w:rFonts w:hint="eastAsia" w:ascii="微软雅黑" w:hAnsi="微软雅黑" w:eastAsia="微软雅黑" w:cs="微软雅黑"/>
          <w:sz w:val="28"/>
          <w:szCs w:val="28"/>
        </w:rPr>
        <w:t>，仅供学习参考之用，不构成对所述产品的出价、征价、要约或要约邀请，不构成任何合同或承诺的基础，不构成买卖任何投资工具或者达成任何交易的推荐，亦不构成任何投资、采购及其他应用建议和指导，对任何因直接或间接使用本报告涉及的信息和内容或者据此进行交易、投资所造成的一切后果或损失，安芯易公司不承担任何法律责任。因此，读者在阅读本报告时应保持警惕，并进行独立的判断和分析。</w:t>
      </w:r>
    </w:p>
    <w:p>
      <w:pPr>
        <w:spacing w:line="48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安芯易公司对本报告中所引用的资料、研究报告所涉及的或从第三方媒体获得的信息及数据的真实性、准确性、完整性和及时性不作任何明示或默示的保证。所发布的信息、观点以及数据有可能因发布日之后的情势或其他因素的变更而不再准确或失效，但安芯易公司不承担更新不准确或过时的信息、观点以及数据的义务，在对相关信息进行变更或更新时亦不会另行通知。</w:t>
      </w:r>
    </w:p>
    <w:p>
      <w:pPr>
        <w:spacing w:line="48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该报告版权归安芯易公司及相关内容提供方所有，未经授权，任何人不得以任何方式转载、修改、翻版、分发、复制、发表。</w:t>
      </w:r>
    </w:p>
    <w:p>
      <w:pPr>
        <w:ind w:firstLine="280"/>
        <w:rPr>
          <w:rFonts w:hint="eastAsia" w:ascii="微软雅黑" w:hAnsi="微软雅黑" w:eastAsia="微软雅黑" w:cs="微软雅黑"/>
          <w:sz w:val="28"/>
          <w:szCs w:val="28"/>
        </w:rPr>
      </w:pPr>
    </w:p>
    <w:p>
      <w:pPr>
        <w:ind w:firstLine="280"/>
        <w:jc w:val="right"/>
        <w:rPr>
          <w:rFonts w:hint="eastAsia" w:ascii="微软雅黑" w:hAnsi="微软雅黑" w:eastAsia="微软雅黑" w:cs="微软雅黑"/>
          <w:szCs w:val="21"/>
        </w:rPr>
      </w:pPr>
      <w:r>
        <w:rPr>
          <w:rFonts w:hint="eastAsia" w:ascii="微软雅黑" w:hAnsi="微软雅黑" w:eastAsia="微软雅黑" w:cs="微软雅黑"/>
          <w:sz w:val="28"/>
          <w:szCs w:val="28"/>
        </w:rPr>
        <w:t>安芯易电子商务（深圳）有限公司</w:t>
      </w:r>
    </w:p>
    <w:p>
      <w:pPr>
        <w:ind w:firstLine="280"/>
        <w:jc w:val="right"/>
        <w:rPr>
          <w:rFonts w:hint="eastAsia" w:ascii="微软雅黑" w:hAnsi="微软雅黑" w:eastAsia="微软雅黑" w:cs="微软雅黑"/>
          <w:sz w:val="28"/>
          <w:szCs w:val="28"/>
        </w:rPr>
      </w:pPr>
      <w:r>
        <w:rPr>
          <w:rFonts w:hint="eastAsia" w:ascii="微软雅黑" w:hAnsi="微软雅黑" w:eastAsia="微软雅黑" w:cs="微软雅黑"/>
          <w:sz w:val="28"/>
          <w:szCs w:val="28"/>
        </w:rPr>
        <w:t>202</w:t>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年</w:t>
      </w:r>
      <w:r>
        <w:rPr>
          <w:rFonts w:hint="eastAsia" w:ascii="微软雅黑" w:hAnsi="微软雅黑" w:cs="微软雅黑"/>
          <w:sz w:val="28"/>
          <w:szCs w:val="28"/>
          <w:lang w:val="en-US" w:eastAsia="zh-CN"/>
        </w:rPr>
        <w:t>9</w:t>
      </w:r>
      <w:r>
        <w:rPr>
          <w:rFonts w:hint="eastAsia" w:ascii="微软雅黑" w:hAnsi="微软雅黑" w:eastAsia="微软雅黑" w:cs="微软雅黑"/>
          <w:sz w:val="28"/>
          <w:szCs w:val="28"/>
        </w:rPr>
        <w:t>月</w:t>
      </w:r>
    </w:p>
    <w:p>
      <w:pPr>
        <w:ind w:firstLine="280"/>
        <w:jc w:val="right"/>
        <w:rPr>
          <w:rFonts w:hint="eastAsia" w:ascii="微软雅黑" w:hAnsi="微软雅黑" w:eastAsia="微软雅黑" w:cs="微软雅黑"/>
          <w:sz w:val="28"/>
          <w:szCs w:val="28"/>
        </w:rPr>
      </w:pPr>
    </w:p>
    <w:p>
      <w:pPr>
        <w:ind w:firstLine="210"/>
        <w:jc w:val="right"/>
        <w:rPr>
          <w:rFonts w:hint="eastAsia" w:ascii="微软雅黑" w:hAnsi="微软雅黑" w:eastAsia="微软雅黑" w:cs="微软雅黑"/>
          <w:szCs w:val="21"/>
        </w:rPr>
      </w:pPr>
    </w:p>
    <w:p>
      <w:pPr>
        <w:ind w:firstLine="210"/>
        <w:rPr>
          <w:rFonts w:hint="eastAsia" w:ascii="微软雅黑" w:hAnsi="微软雅黑" w:eastAsia="微软雅黑" w:cs="微软雅黑"/>
          <w:szCs w:val="21"/>
        </w:rPr>
      </w:pPr>
    </w:p>
    <w:p>
      <w:pPr>
        <w:rPr>
          <w:rFonts w:hint="eastAsia" w:ascii="微软雅黑" w:hAnsi="微软雅黑" w:eastAsia="微软雅黑" w:cs="微软雅黑"/>
          <w:szCs w:val="21"/>
        </w:rPr>
      </w:pPr>
      <w:r>
        <w:rPr>
          <w:rFonts w:hint="eastAsia" w:ascii="微软雅黑" w:hAnsi="微软雅黑" w:eastAsia="微软雅黑" w:cs="微软雅黑"/>
          <w:szCs w:val="21"/>
        </w:rPr>
        <w:drawing>
          <wp:anchor distT="0" distB="0" distL="114300" distR="114300" simplePos="0" relativeHeight="251662336" behindDoc="0" locked="0" layoutInCell="1" allowOverlap="1">
            <wp:simplePos x="0" y="0"/>
            <wp:positionH relativeFrom="column">
              <wp:posOffset>-1146175</wp:posOffset>
            </wp:positionH>
            <wp:positionV relativeFrom="paragraph">
              <wp:posOffset>-912495</wp:posOffset>
            </wp:positionV>
            <wp:extent cx="7563485" cy="10694670"/>
            <wp:effectExtent l="0" t="0" r="5715" b="11430"/>
            <wp:wrapNone/>
            <wp:docPr id="2" name="图片 2" descr="D:/Amanda工作资料/2.月度报告/2024年/4月报告/20240520-155725.jpg20240520-15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Amanda工作资料/2.月度报告/2024年/4月报告/20240520-155725.jpg20240520-155725"/>
                    <pic:cNvPicPr>
                      <a:picLocks noChangeAspect="1"/>
                    </pic:cNvPicPr>
                  </pic:nvPicPr>
                  <pic:blipFill>
                    <a:blip r:embed="rId10"/>
                    <a:srcRect l="3" r="3"/>
                    <a:stretch>
                      <a:fillRect/>
                    </a:stretch>
                  </pic:blipFill>
                  <pic:spPr>
                    <a:xfrm>
                      <a:off x="0" y="0"/>
                      <a:ext cx="7563485" cy="1069467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思源黑体 CN Normal">
    <w:panose1 w:val="020B0400000000000000"/>
    <w:charset w:val="86"/>
    <w:family w:val="auto"/>
    <w:pitch w:val="default"/>
    <w:sig w:usb0="20000003" w:usb1="2ADF3C10" w:usb2="00000016" w:usb3="00000000" w:csb0="60060107" w:csb1="0000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drawing>
        <wp:anchor distT="0" distB="0" distL="0" distR="0" simplePos="0" relativeHeight="251661312" behindDoc="1" locked="0" layoutInCell="1" allowOverlap="1">
          <wp:simplePos x="0" y="0"/>
          <wp:positionH relativeFrom="page">
            <wp:posOffset>5902325</wp:posOffset>
          </wp:positionH>
          <wp:positionV relativeFrom="page">
            <wp:posOffset>399415</wp:posOffset>
          </wp:positionV>
          <wp:extent cx="1088390" cy="181610"/>
          <wp:effectExtent l="0" t="0" r="3810" b="889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a:picLocks noChangeAspect="1"/>
                  </pic:cNvPicPr>
                </pic:nvPicPr>
                <pic:blipFill>
                  <a:blip r:embed="rId1" cstate="print"/>
                  <a:stretch>
                    <a:fillRect/>
                  </a:stretch>
                </pic:blipFill>
                <pic:spPr>
                  <a:xfrm>
                    <a:off x="0" y="0"/>
                    <a:ext cx="1088390" cy="181610"/>
                  </a:xfrm>
                  <a:prstGeom prst="rect">
                    <a:avLst/>
                  </a:prstGeom>
                </pic:spPr>
              </pic:pic>
            </a:graphicData>
          </a:graphic>
        </wp:anchor>
      </w:drawing>
    </w:r>
    <w:r>
      <w:rPr>
        <w:rFonts w:ascii="思源黑体 CN Normal" w:hAnsi="思源黑体 CN Normal" w:eastAsia="思源黑体 CN Normal" w:cs="思源黑体 CN Normal"/>
        <w:sz w:val="21"/>
        <w:szCs w:val="32"/>
      </w:rPr>
      <w:drawing>
        <wp:anchor distT="0" distB="0" distL="114300" distR="114300" simplePos="0" relativeHeight="251660288" behindDoc="0" locked="0" layoutInCell="1" allowOverlap="1">
          <wp:simplePos x="0" y="0"/>
          <wp:positionH relativeFrom="column">
            <wp:posOffset>-519430</wp:posOffset>
          </wp:positionH>
          <wp:positionV relativeFrom="paragraph">
            <wp:posOffset>-171450</wp:posOffset>
          </wp:positionV>
          <wp:extent cx="2299970" cy="243840"/>
          <wp:effectExtent l="0" t="0" r="11430" b="10160"/>
          <wp:wrapNone/>
          <wp:docPr id="7" name="图片 7" descr="20240313-11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0240313-110149"/>
                  <pic:cNvPicPr>
                    <a:picLocks noChangeAspect="1"/>
                  </pic:cNvPicPr>
                </pic:nvPicPr>
                <pic:blipFill>
                  <a:blip r:embed="rId2"/>
                  <a:srcRect l="9997" t="30787" r="8673" b="32837"/>
                  <a:stretch>
                    <a:fillRect/>
                  </a:stretch>
                </pic:blipFill>
                <pic:spPr>
                  <a:xfrm>
                    <a:off x="0" y="0"/>
                    <a:ext cx="2299970" cy="24384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drawing>
        <wp:anchor distT="0" distB="0" distL="0" distR="0" simplePos="0" relativeHeight="251664384" behindDoc="1" locked="0" layoutInCell="1" allowOverlap="1">
          <wp:simplePos x="0" y="0"/>
          <wp:positionH relativeFrom="page">
            <wp:posOffset>5902325</wp:posOffset>
          </wp:positionH>
          <wp:positionV relativeFrom="page">
            <wp:posOffset>399415</wp:posOffset>
          </wp:positionV>
          <wp:extent cx="1088390" cy="181610"/>
          <wp:effectExtent l="0" t="0" r="3810" b="889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a:picLocks noChangeAspect="1"/>
                  </pic:cNvPicPr>
                </pic:nvPicPr>
                <pic:blipFill>
                  <a:blip r:embed="rId1" cstate="print"/>
                  <a:stretch>
                    <a:fillRect/>
                  </a:stretch>
                </pic:blipFill>
                <pic:spPr>
                  <a:xfrm>
                    <a:off x="0" y="0"/>
                    <a:ext cx="1088390" cy="181610"/>
                  </a:xfrm>
                  <a:prstGeom prst="rect">
                    <a:avLst/>
                  </a:prstGeom>
                </pic:spPr>
              </pic:pic>
            </a:graphicData>
          </a:graphic>
        </wp:anchor>
      </w:drawing>
    </w:r>
    <w:r>
      <w:rPr>
        <w:rFonts w:ascii="思源黑体 CN Normal" w:hAnsi="思源黑体 CN Normal" w:eastAsia="思源黑体 CN Normal" w:cs="思源黑体 CN Normal"/>
        <w:sz w:val="21"/>
        <w:szCs w:val="32"/>
      </w:rPr>
      <w:drawing>
        <wp:anchor distT="0" distB="0" distL="114300" distR="114300" simplePos="0" relativeHeight="251663360" behindDoc="0" locked="0" layoutInCell="1" allowOverlap="1">
          <wp:simplePos x="0" y="0"/>
          <wp:positionH relativeFrom="column">
            <wp:posOffset>-519430</wp:posOffset>
          </wp:positionH>
          <wp:positionV relativeFrom="paragraph">
            <wp:posOffset>-171450</wp:posOffset>
          </wp:positionV>
          <wp:extent cx="2299970" cy="243840"/>
          <wp:effectExtent l="0" t="0" r="11430" b="10160"/>
          <wp:wrapNone/>
          <wp:docPr id="4" name="图片 4" descr="20240313-11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40313-110149"/>
                  <pic:cNvPicPr>
                    <a:picLocks noChangeAspect="1"/>
                  </pic:cNvPicPr>
                </pic:nvPicPr>
                <pic:blipFill>
                  <a:blip r:embed="rId2"/>
                  <a:srcRect l="9997" t="30787" r="8673" b="32837"/>
                  <a:stretch>
                    <a:fillRect/>
                  </a:stretch>
                </pic:blipFill>
                <pic:spPr>
                  <a:xfrm>
                    <a:off x="0" y="0"/>
                    <a:ext cx="2299970" cy="2438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5641D8"/>
    <w:multiLevelType w:val="singleLevel"/>
    <w:tmpl w:val="905641D8"/>
    <w:lvl w:ilvl="0" w:tentative="0">
      <w:start w:val="1"/>
      <w:numFmt w:val="bullet"/>
      <w:lvlText w:val=""/>
      <w:lvlJc w:val="left"/>
      <w:pPr>
        <w:ind w:left="420" w:hanging="420"/>
      </w:pPr>
      <w:rPr>
        <w:rFonts w:hint="default" w:ascii="Wingdings" w:hAnsi="Wingdings"/>
      </w:rPr>
    </w:lvl>
  </w:abstractNum>
  <w:abstractNum w:abstractNumId="1">
    <w:nsid w:val="A7F98A30"/>
    <w:multiLevelType w:val="multilevel"/>
    <w:tmpl w:val="A7F98A30"/>
    <w:lvl w:ilvl="0" w:tentative="0">
      <w:start w:val="1"/>
      <w:numFmt w:val="decimal"/>
      <w:lvlText w:val="[%1]"/>
      <w:lvlJc w:val="left"/>
      <w:pPr>
        <w:ind w:left="0" w:firstLine="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
    <w:nsid w:val="B1502319"/>
    <w:multiLevelType w:val="singleLevel"/>
    <w:tmpl w:val="B1502319"/>
    <w:lvl w:ilvl="0" w:tentative="0">
      <w:start w:val="1"/>
      <w:numFmt w:val="decimal"/>
      <w:suff w:val="nothing"/>
      <w:lvlText w:val="%1）"/>
      <w:lvlJc w:val="left"/>
    </w:lvl>
  </w:abstractNum>
  <w:abstractNum w:abstractNumId="3">
    <w:nsid w:val="B654753A"/>
    <w:multiLevelType w:val="singleLevel"/>
    <w:tmpl w:val="B654753A"/>
    <w:lvl w:ilvl="0" w:tentative="0">
      <w:start w:val="1"/>
      <w:numFmt w:val="bullet"/>
      <w:lvlText w:val=""/>
      <w:lvlJc w:val="left"/>
      <w:pPr>
        <w:ind w:left="420" w:hanging="420"/>
      </w:pPr>
      <w:rPr>
        <w:rFonts w:hint="default" w:ascii="Wingdings" w:hAnsi="Wingdings"/>
      </w:rPr>
    </w:lvl>
  </w:abstractNum>
  <w:abstractNum w:abstractNumId="4">
    <w:nsid w:val="BAEAEF10"/>
    <w:multiLevelType w:val="singleLevel"/>
    <w:tmpl w:val="BAEAEF10"/>
    <w:lvl w:ilvl="0" w:tentative="0">
      <w:start w:val="1"/>
      <w:numFmt w:val="bullet"/>
      <w:lvlText w:val=""/>
      <w:lvlJc w:val="left"/>
      <w:pPr>
        <w:ind w:left="420" w:hanging="420"/>
      </w:pPr>
      <w:rPr>
        <w:rFonts w:hint="default" w:ascii="Wingdings" w:hAnsi="Wingdings"/>
      </w:rPr>
    </w:lvl>
  </w:abstractNum>
  <w:abstractNum w:abstractNumId="5">
    <w:nsid w:val="BB877B80"/>
    <w:multiLevelType w:val="multilevel"/>
    <w:tmpl w:val="BB877B80"/>
    <w:lvl w:ilvl="0" w:tentative="0">
      <w:start w:val="1"/>
      <w:numFmt w:val="chineseCounting"/>
      <w:pStyle w:val="3"/>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6">
    <w:nsid w:val="BFAAE330"/>
    <w:multiLevelType w:val="singleLevel"/>
    <w:tmpl w:val="BFAAE330"/>
    <w:lvl w:ilvl="0" w:tentative="0">
      <w:start w:val="1"/>
      <w:numFmt w:val="bullet"/>
      <w:lvlText w:val=""/>
      <w:lvlJc w:val="left"/>
      <w:pPr>
        <w:ind w:left="420" w:hanging="420"/>
      </w:pPr>
      <w:rPr>
        <w:rFonts w:hint="default" w:ascii="Wingdings" w:hAnsi="Wingdings"/>
      </w:rPr>
    </w:lvl>
  </w:abstractNum>
  <w:abstractNum w:abstractNumId="7">
    <w:nsid w:val="FFE021ED"/>
    <w:multiLevelType w:val="singleLevel"/>
    <w:tmpl w:val="FFE021ED"/>
    <w:lvl w:ilvl="0" w:tentative="0">
      <w:start w:val="1"/>
      <w:numFmt w:val="bullet"/>
      <w:lvlText w:val=""/>
      <w:lvlJc w:val="left"/>
      <w:pPr>
        <w:ind w:left="420" w:hanging="420"/>
      </w:pPr>
      <w:rPr>
        <w:rFonts w:hint="default" w:ascii="Wingdings" w:hAnsi="Wingdings"/>
      </w:rPr>
    </w:lvl>
  </w:abstractNum>
  <w:abstractNum w:abstractNumId="8">
    <w:nsid w:val="10764A3D"/>
    <w:multiLevelType w:val="singleLevel"/>
    <w:tmpl w:val="10764A3D"/>
    <w:lvl w:ilvl="0" w:tentative="0">
      <w:start w:val="1"/>
      <w:numFmt w:val="bullet"/>
      <w:lvlText w:val=""/>
      <w:lvlJc w:val="left"/>
      <w:pPr>
        <w:ind w:left="420" w:hanging="420"/>
      </w:pPr>
      <w:rPr>
        <w:rFonts w:hint="default" w:ascii="Wingdings" w:hAnsi="Wingdings"/>
      </w:rPr>
    </w:lvl>
  </w:abstractNum>
  <w:abstractNum w:abstractNumId="9">
    <w:nsid w:val="1909AF9D"/>
    <w:multiLevelType w:val="singleLevel"/>
    <w:tmpl w:val="1909AF9D"/>
    <w:lvl w:ilvl="0" w:tentative="0">
      <w:start w:val="4"/>
      <w:numFmt w:val="chineseCounting"/>
      <w:suff w:val="nothing"/>
      <w:lvlText w:val="%1、"/>
      <w:lvlJc w:val="left"/>
      <w:rPr>
        <w:rFonts w:hint="eastAsia"/>
      </w:rPr>
    </w:lvl>
  </w:abstractNum>
  <w:abstractNum w:abstractNumId="10">
    <w:nsid w:val="1C14728C"/>
    <w:multiLevelType w:val="singleLevel"/>
    <w:tmpl w:val="1C14728C"/>
    <w:lvl w:ilvl="0" w:tentative="0">
      <w:start w:val="1"/>
      <w:numFmt w:val="bullet"/>
      <w:lvlText w:val=""/>
      <w:lvlJc w:val="left"/>
      <w:pPr>
        <w:ind w:left="420" w:hanging="420"/>
      </w:pPr>
      <w:rPr>
        <w:rFonts w:hint="default" w:ascii="Wingdings" w:hAnsi="Wingdings"/>
      </w:rPr>
    </w:lvl>
  </w:abstractNum>
  <w:abstractNum w:abstractNumId="11">
    <w:nsid w:val="22140D0D"/>
    <w:multiLevelType w:val="multilevel"/>
    <w:tmpl w:val="22140D0D"/>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2">
    <w:nsid w:val="27365B37"/>
    <w:multiLevelType w:val="singleLevel"/>
    <w:tmpl w:val="27365B37"/>
    <w:lvl w:ilvl="0" w:tentative="0">
      <w:start w:val="1"/>
      <w:numFmt w:val="bullet"/>
      <w:lvlText w:val=""/>
      <w:lvlJc w:val="left"/>
      <w:pPr>
        <w:ind w:left="420" w:hanging="420"/>
      </w:pPr>
      <w:rPr>
        <w:rFonts w:hint="default" w:ascii="Wingdings" w:hAnsi="Wingdings"/>
      </w:rPr>
    </w:lvl>
  </w:abstractNum>
  <w:abstractNum w:abstractNumId="13">
    <w:nsid w:val="2777F632"/>
    <w:multiLevelType w:val="singleLevel"/>
    <w:tmpl w:val="2777F632"/>
    <w:lvl w:ilvl="0" w:tentative="0">
      <w:start w:val="1"/>
      <w:numFmt w:val="bullet"/>
      <w:lvlText w:val=""/>
      <w:lvlJc w:val="left"/>
      <w:pPr>
        <w:ind w:left="420" w:hanging="420"/>
      </w:pPr>
      <w:rPr>
        <w:rFonts w:hint="default" w:ascii="Wingdings" w:hAnsi="Wingdings"/>
      </w:rPr>
    </w:lvl>
  </w:abstractNum>
  <w:abstractNum w:abstractNumId="14">
    <w:nsid w:val="2FC996B3"/>
    <w:multiLevelType w:val="singleLevel"/>
    <w:tmpl w:val="2FC996B3"/>
    <w:lvl w:ilvl="0" w:tentative="0">
      <w:start w:val="2"/>
      <w:numFmt w:val="chineseCounting"/>
      <w:suff w:val="nothing"/>
      <w:lvlText w:val="（%1）"/>
      <w:lvlJc w:val="left"/>
      <w:rPr>
        <w:rFonts w:hint="eastAsia"/>
      </w:rPr>
    </w:lvl>
  </w:abstractNum>
  <w:abstractNum w:abstractNumId="15">
    <w:nsid w:val="3CADE7C7"/>
    <w:multiLevelType w:val="singleLevel"/>
    <w:tmpl w:val="3CADE7C7"/>
    <w:lvl w:ilvl="0" w:tentative="0">
      <w:start w:val="1"/>
      <w:numFmt w:val="bullet"/>
      <w:lvlText w:val=""/>
      <w:lvlJc w:val="left"/>
      <w:pPr>
        <w:ind w:left="420" w:hanging="420"/>
      </w:pPr>
      <w:rPr>
        <w:rFonts w:hint="default" w:ascii="Wingdings" w:hAnsi="Wingdings"/>
      </w:rPr>
    </w:lvl>
  </w:abstractNum>
  <w:abstractNum w:abstractNumId="16">
    <w:nsid w:val="45398467"/>
    <w:multiLevelType w:val="singleLevel"/>
    <w:tmpl w:val="45398467"/>
    <w:lvl w:ilvl="0" w:tentative="0">
      <w:start w:val="1"/>
      <w:numFmt w:val="chineseCounting"/>
      <w:suff w:val="nothing"/>
      <w:lvlText w:val="（%1）"/>
      <w:lvlJc w:val="left"/>
      <w:rPr>
        <w:rFonts w:hint="eastAsia" w:ascii="微软雅黑" w:hAnsi="微软雅黑" w:eastAsia="微软雅黑" w:cs="微软雅黑"/>
        <w:sz w:val="24"/>
        <w:szCs w:val="24"/>
      </w:rPr>
    </w:lvl>
  </w:abstractNum>
  <w:abstractNum w:abstractNumId="17">
    <w:nsid w:val="530E0EF4"/>
    <w:multiLevelType w:val="multilevel"/>
    <w:tmpl w:val="530E0EF4"/>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8">
    <w:nsid w:val="5E83E5E9"/>
    <w:multiLevelType w:val="singleLevel"/>
    <w:tmpl w:val="5E83E5E9"/>
    <w:lvl w:ilvl="0" w:tentative="0">
      <w:start w:val="1"/>
      <w:numFmt w:val="bullet"/>
      <w:lvlText w:val=""/>
      <w:lvlJc w:val="left"/>
      <w:pPr>
        <w:ind w:left="420" w:hanging="420"/>
      </w:pPr>
      <w:rPr>
        <w:rFonts w:hint="default" w:ascii="Wingdings" w:hAnsi="Wingdings"/>
      </w:rPr>
    </w:lvl>
  </w:abstractNum>
  <w:abstractNum w:abstractNumId="19">
    <w:nsid w:val="6B32B2C5"/>
    <w:multiLevelType w:val="singleLevel"/>
    <w:tmpl w:val="6B32B2C5"/>
    <w:lvl w:ilvl="0" w:tentative="0">
      <w:start w:val="1"/>
      <w:numFmt w:val="chineseCounting"/>
      <w:suff w:val="nothing"/>
      <w:lvlText w:val="（%1）"/>
      <w:lvlJc w:val="left"/>
      <w:rPr>
        <w:rFonts w:hint="eastAsia"/>
      </w:rPr>
    </w:lvl>
  </w:abstractNum>
  <w:abstractNum w:abstractNumId="20">
    <w:nsid w:val="7DA8572A"/>
    <w:multiLevelType w:val="multilevel"/>
    <w:tmpl w:val="7DA8572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1">
    <w:nsid w:val="7E274347"/>
    <w:multiLevelType w:val="singleLevel"/>
    <w:tmpl w:val="7E274347"/>
    <w:lvl w:ilvl="0" w:tentative="0">
      <w:start w:val="1"/>
      <w:numFmt w:val="bullet"/>
      <w:lvlText w:val=""/>
      <w:lvlJc w:val="left"/>
      <w:pPr>
        <w:ind w:left="420" w:hanging="420"/>
      </w:pPr>
      <w:rPr>
        <w:rFonts w:hint="default" w:ascii="Wingdings" w:hAnsi="Wingdings"/>
      </w:rPr>
    </w:lvl>
  </w:abstractNum>
  <w:num w:numId="1">
    <w:abstractNumId w:val="5"/>
  </w:num>
  <w:num w:numId="2">
    <w:abstractNumId w:val="20"/>
  </w:num>
  <w:num w:numId="3">
    <w:abstractNumId w:val="11"/>
  </w:num>
  <w:num w:numId="4">
    <w:abstractNumId w:val="17"/>
  </w:num>
  <w:num w:numId="5">
    <w:abstractNumId w:val="19"/>
  </w:num>
  <w:num w:numId="6">
    <w:abstractNumId w:val="18"/>
  </w:num>
  <w:num w:numId="7">
    <w:abstractNumId w:val="14"/>
  </w:num>
  <w:num w:numId="8">
    <w:abstractNumId w:val="12"/>
  </w:num>
  <w:num w:numId="9">
    <w:abstractNumId w:val="3"/>
  </w:num>
  <w:num w:numId="10">
    <w:abstractNumId w:val="21"/>
  </w:num>
  <w:num w:numId="11">
    <w:abstractNumId w:val="13"/>
  </w:num>
  <w:num w:numId="12">
    <w:abstractNumId w:val="6"/>
  </w:num>
  <w:num w:numId="13">
    <w:abstractNumId w:val="9"/>
  </w:num>
  <w:num w:numId="14">
    <w:abstractNumId w:val="16"/>
  </w:num>
  <w:num w:numId="15">
    <w:abstractNumId w:val="4"/>
  </w:num>
  <w:num w:numId="16">
    <w:abstractNumId w:val="10"/>
  </w:num>
  <w:num w:numId="17">
    <w:abstractNumId w:val="0"/>
  </w:num>
  <w:num w:numId="18">
    <w:abstractNumId w:val="8"/>
  </w:num>
  <w:num w:numId="19">
    <w:abstractNumId w:val="2"/>
  </w:num>
  <w:num w:numId="20">
    <w:abstractNumId w:val="15"/>
  </w:num>
  <w:num w:numId="21">
    <w:abstractNumId w:val="7"/>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2NjIwODE4MTRjMDVmNDk3MDBkNzdlMWM5NmY1ZWEifQ=="/>
    <w:docVar w:name="KSO_WPS_MARK_KEY" w:val="42f8b96c-82a8-4d2c-8875-d5c4f49bb2af"/>
  </w:docVars>
  <w:rsids>
    <w:rsidRoot w:val="00172A27"/>
    <w:rsid w:val="00D9637F"/>
    <w:rsid w:val="01703CBB"/>
    <w:rsid w:val="024B3DD5"/>
    <w:rsid w:val="02900053"/>
    <w:rsid w:val="02AE3F0F"/>
    <w:rsid w:val="02E83989"/>
    <w:rsid w:val="03597303"/>
    <w:rsid w:val="042D75C6"/>
    <w:rsid w:val="0484096A"/>
    <w:rsid w:val="05F56A78"/>
    <w:rsid w:val="066F28DF"/>
    <w:rsid w:val="07197B67"/>
    <w:rsid w:val="078F2096"/>
    <w:rsid w:val="086D0E3E"/>
    <w:rsid w:val="09493FC3"/>
    <w:rsid w:val="09574956"/>
    <w:rsid w:val="09FB0F62"/>
    <w:rsid w:val="0A854E82"/>
    <w:rsid w:val="0A981059"/>
    <w:rsid w:val="0B0936C2"/>
    <w:rsid w:val="0B320293"/>
    <w:rsid w:val="0B9D6DBB"/>
    <w:rsid w:val="0C3D429C"/>
    <w:rsid w:val="0C3E71D6"/>
    <w:rsid w:val="0DF44C98"/>
    <w:rsid w:val="0E1D0BCE"/>
    <w:rsid w:val="0E883192"/>
    <w:rsid w:val="0F3550C8"/>
    <w:rsid w:val="0F966B3F"/>
    <w:rsid w:val="0F9B2D3F"/>
    <w:rsid w:val="0FF104C1"/>
    <w:rsid w:val="10B000C0"/>
    <w:rsid w:val="10E0686D"/>
    <w:rsid w:val="11205904"/>
    <w:rsid w:val="11C3378E"/>
    <w:rsid w:val="130628D8"/>
    <w:rsid w:val="14204270"/>
    <w:rsid w:val="14B65840"/>
    <w:rsid w:val="14FF1B0C"/>
    <w:rsid w:val="153158D8"/>
    <w:rsid w:val="154021BC"/>
    <w:rsid w:val="15685788"/>
    <w:rsid w:val="16CD5BE6"/>
    <w:rsid w:val="17753132"/>
    <w:rsid w:val="177B3894"/>
    <w:rsid w:val="18435DD2"/>
    <w:rsid w:val="1852327C"/>
    <w:rsid w:val="18842C1C"/>
    <w:rsid w:val="198D2021"/>
    <w:rsid w:val="19C62172"/>
    <w:rsid w:val="1A0757C3"/>
    <w:rsid w:val="1A27192F"/>
    <w:rsid w:val="1A8E38DF"/>
    <w:rsid w:val="1AAD05A2"/>
    <w:rsid w:val="1ACB6CCD"/>
    <w:rsid w:val="1B8078EE"/>
    <w:rsid w:val="1C116648"/>
    <w:rsid w:val="1C127F23"/>
    <w:rsid w:val="1C6B5FFE"/>
    <w:rsid w:val="1D525FEE"/>
    <w:rsid w:val="1DF443A0"/>
    <w:rsid w:val="1E1614D0"/>
    <w:rsid w:val="1ED74889"/>
    <w:rsid w:val="1F3D1928"/>
    <w:rsid w:val="1FE47C93"/>
    <w:rsid w:val="20482298"/>
    <w:rsid w:val="20A87B9E"/>
    <w:rsid w:val="20EA7CA2"/>
    <w:rsid w:val="215C4736"/>
    <w:rsid w:val="216D52B6"/>
    <w:rsid w:val="2181419D"/>
    <w:rsid w:val="2184648F"/>
    <w:rsid w:val="224A7266"/>
    <w:rsid w:val="22525B39"/>
    <w:rsid w:val="22621A4B"/>
    <w:rsid w:val="22F028ED"/>
    <w:rsid w:val="22F62969"/>
    <w:rsid w:val="23922691"/>
    <w:rsid w:val="23EA545C"/>
    <w:rsid w:val="23FC40CD"/>
    <w:rsid w:val="242C244C"/>
    <w:rsid w:val="247D2784"/>
    <w:rsid w:val="248347A5"/>
    <w:rsid w:val="25FC31DC"/>
    <w:rsid w:val="26936088"/>
    <w:rsid w:val="26C16DEA"/>
    <w:rsid w:val="27D937D0"/>
    <w:rsid w:val="27FC1355"/>
    <w:rsid w:val="284A2F17"/>
    <w:rsid w:val="28C5567E"/>
    <w:rsid w:val="28C635BF"/>
    <w:rsid w:val="2A8E7C82"/>
    <w:rsid w:val="2AD46434"/>
    <w:rsid w:val="2B0F7255"/>
    <w:rsid w:val="2B466970"/>
    <w:rsid w:val="2C2F0CF9"/>
    <w:rsid w:val="2C9859C5"/>
    <w:rsid w:val="2D731E4A"/>
    <w:rsid w:val="2D8F57CB"/>
    <w:rsid w:val="2DFB55B3"/>
    <w:rsid w:val="2E6A12DD"/>
    <w:rsid w:val="2E963A3F"/>
    <w:rsid w:val="2E9F3AEC"/>
    <w:rsid w:val="2F525039"/>
    <w:rsid w:val="2FD428A3"/>
    <w:rsid w:val="306575DF"/>
    <w:rsid w:val="3098286A"/>
    <w:rsid w:val="31F04FB5"/>
    <w:rsid w:val="3284589B"/>
    <w:rsid w:val="33B33F5D"/>
    <w:rsid w:val="33DB1913"/>
    <w:rsid w:val="33F0106F"/>
    <w:rsid w:val="34164C19"/>
    <w:rsid w:val="34AC4EF6"/>
    <w:rsid w:val="35D803D6"/>
    <w:rsid w:val="360E6AD1"/>
    <w:rsid w:val="36B2080B"/>
    <w:rsid w:val="3727193C"/>
    <w:rsid w:val="37323B8A"/>
    <w:rsid w:val="37536FFB"/>
    <w:rsid w:val="378F3295"/>
    <w:rsid w:val="383438BF"/>
    <w:rsid w:val="384A44BA"/>
    <w:rsid w:val="38C035BF"/>
    <w:rsid w:val="38DE7880"/>
    <w:rsid w:val="390327DC"/>
    <w:rsid w:val="398626B6"/>
    <w:rsid w:val="3A2C181C"/>
    <w:rsid w:val="3A82340F"/>
    <w:rsid w:val="3B131716"/>
    <w:rsid w:val="3B5757DE"/>
    <w:rsid w:val="3B84793E"/>
    <w:rsid w:val="3BEF756B"/>
    <w:rsid w:val="3CDF620E"/>
    <w:rsid w:val="3DBC2B72"/>
    <w:rsid w:val="3DE814D9"/>
    <w:rsid w:val="3E3F1EEC"/>
    <w:rsid w:val="3F851506"/>
    <w:rsid w:val="40411731"/>
    <w:rsid w:val="41830D34"/>
    <w:rsid w:val="42987B14"/>
    <w:rsid w:val="43401B6B"/>
    <w:rsid w:val="43C02238"/>
    <w:rsid w:val="45510B60"/>
    <w:rsid w:val="45886A8A"/>
    <w:rsid w:val="45E05347"/>
    <w:rsid w:val="463C6D95"/>
    <w:rsid w:val="4693517D"/>
    <w:rsid w:val="46BB4EAD"/>
    <w:rsid w:val="471E632B"/>
    <w:rsid w:val="47713F38"/>
    <w:rsid w:val="47E26627"/>
    <w:rsid w:val="483012C5"/>
    <w:rsid w:val="48815C6E"/>
    <w:rsid w:val="48F72F40"/>
    <w:rsid w:val="493F0677"/>
    <w:rsid w:val="49A0428C"/>
    <w:rsid w:val="49C143C7"/>
    <w:rsid w:val="49EC53E0"/>
    <w:rsid w:val="4A012FC1"/>
    <w:rsid w:val="4A755289"/>
    <w:rsid w:val="4A91694F"/>
    <w:rsid w:val="4AC34E4E"/>
    <w:rsid w:val="4B11169D"/>
    <w:rsid w:val="4B1C3FDD"/>
    <w:rsid w:val="4B2F76F0"/>
    <w:rsid w:val="4B7B028B"/>
    <w:rsid w:val="4B95180D"/>
    <w:rsid w:val="4BD035F0"/>
    <w:rsid w:val="4C0A4C0B"/>
    <w:rsid w:val="4CBF59F6"/>
    <w:rsid w:val="4D4A1835"/>
    <w:rsid w:val="4E094FAC"/>
    <w:rsid w:val="4ED36436"/>
    <w:rsid w:val="4EE41DF2"/>
    <w:rsid w:val="4FE4641C"/>
    <w:rsid w:val="500D3D3C"/>
    <w:rsid w:val="503B52FD"/>
    <w:rsid w:val="52635075"/>
    <w:rsid w:val="52E5330C"/>
    <w:rsid w:val="52E664BF"/>
    <w:rsid w:val="52E760A8"/>
    <w:rsid w:val="538D2EF9"/>
    <w:rsid w:val="553E5B1E"/>
    <w:rsid w:val="555D06F1"/>
    <w:rsid w:val="55C97BCB"/>
    <w:rsid w:val="55FC4AF5"/>
    <w:rsid w:val="56E51601"/>
    <w:rsid w:val="589B33A9"/>
    <w:rsid w:val="592F356A"/>
    <w:rsid w:val="595E27CE"/>
    <w:rsid w:val="5A8A6B27"/>
    <w:rsid w:val="5A9141FD"/>
    <w:rsid w:val="5C0E7C01"/>
    <w:rsid w:val="5C9E1265"/>
    <w:rsid w:val="5D883C60"/>
    <w:rsid w:val="5E822B33"/>
    <w:rsid w:val="5EC92441"/>
    <w:rsid w:val="5F781A34"/>
    <w:rsid w:val="60BE1951"/>
    <w:rsid w:val="610D3B9A"/>
    <w:rsid w:val="61511552"/>
    <w:rsid w:val="61A458DD"/>
    <w:rsid w:val="61FC7FCD"/>
    <w:rsid w:val="62B42DB8"/>
    <w:rsid w:val="632E6493"/>
    <w:rsid w:val="63322686"/>
    <w:rsid w:val="637E6927"/>
    <w:rsid w:val="638E37C7"/>
    <w:rsid w:val="63B46957"/>
    <w:rsid w:val="63D64E35"/>
    <w:rsid w:val="643E7244"/>
    <w:rsid w:val="649F678D"/>
    <w:rsid w:val="64BE25DF"/>
    <w:rsid w:val="64EF290D"/>
    <w:rsid w:val="650B3CDC"/>
    <w:rsid w:val="654858DD"/>
    <w:rsid w:val="655D0756"/>
    <w:rsid w:val="664A1953"/>
    <w:rsid w:val="66EF0A04"/>
    <w:rsid w:val="67204E8B"/>
    <w:rsid w:val="689B4865"/>
    <w:rsid w:val="69004F74"/>
    <w:rsid w:val="691E68CF"/>
    <w:rsid w:val="694635BE"/>
    <w:rsid w:val="698536CB"/>
    <w:rsid w:val="69A86167"/>
    <w:rsid w:val="6A4F0F5F"/>
    <w:rsid w:val="6A521800"/>
    <w:rsid w:val="6B480E55"/>
    <w:rsid w:val="6B5646EA"/>
    <w:rsid w:val="6B610944"/>
    <w:rsid w:val="6BB9676E"/>
    <w:rsid w:val="6BF2363C"/>
    <w:rsid w:val="6C010060"/>
    <w:rsid w:val="6D2A778E"/>
    <w:rsid w:val="6E17402B"/>
    <w:rsid w:val="6E4C2A0A"/>
    <w:rsid w:val="6EDF0B2A"/>
    <w:rsid w:val="6F543739"/>
    <w:rsid w:val="6F8A4D6B"/>
    <w:rsid w:val="70BD6783"/>
    <w:rsid w:val="715F33B6"/>
    <w:rsid w:val="72660921"/>
    <w:rsid w:val="730E7F9B"/>
    <w:rsid w:val="73840550"/>
    <w:rsid w:val="738642C8"/>
    <w:rsid w:val="73923F67"/>
    <w:rsid w:val="73A21B78"/>
    <w:rsid w:val="744A3B35"/>
    <w:rsid w:val="74A94C32"/>
    <w:rsid w:val="755760EF"/>
    <w:rsid w:val="75601FAE"/>
    <w:rsid w:val="758331B5"/>
    <w:rsid w:val="76A54B2B"/>
    <w:rsid w:val="76AF1D88"/>
    <w:rsid w:val="76B318E5"/>
    <w:rsid w:val="76CC2731"/>
    <w:rsid w:val="77224020"/>
    <w:rsid w:val="77303BA9"/>
    <w:rsid w:val="775D7A36"/>
    <w:rsid w:val="777151C7"/>
    <w:rsid w:val="77F649A1"/>
    <w:rsid w:val="77F83AFA"/>
    <w:rsid w:val="78305455"/>
    <w:rsid w:val="7872773D"/>
    <w:rsid w:val="78CC6F25"/>
    <w:rsid w:val="7A75289E"/>
    <w:rsid w:val="7AE22945"/>
    <w:rsid w:val="7AF02BA9"/>
    <w:rsid w:val="7B6D2C2E"/>
    <w:rsid w:val="7C241724"/>
    <w:rsid w:val="7C690A9F"/>
    <w:rsid w:val="7C8E2CF1"/>
    <w:rsid w:val="7CAE043E"/>
    <w:rsid w:val="7CC85D73"/>
    <w:rsid w:val="7CCD67F0"/>
    <w:rsid w:val="7D573754"/>
    <w:rsid w:val="7D660DB1"/>
    <w:rsid w:val="7DBD76C0"/>
    <w:rsid w:val="7DF44095"/>
    <w:rsid w:val="7FD90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微软雅黑" w:asciiTheme="minorAscii" w:hAnsiTheme="minorAscii" w:cstheme="minorBidi"/>
      <w:kern w:val="2"/>
      <w:sz w:val="22"/>
      <w:szCs w:val="24"/>
      <w:lang w:val="en-US" w:eastAsia="zh-CN" w:bidi="ar-SA"/>
    </w:rPr>
  </w:style>
  <w:style w:type="paragraph" w:styleId="2">
    <w:name w:val="heading 1"/>
    <w:basedOn w:val="1"/>
    <w:next w:val="1"/>
    <w:qFormat/>
    <w:uiPriority w:val="0"/>
    <w:pPr>
      <w:keepNext/>
      <w:keepLines/>
      <w:numPr>
        <w:ilvl w:val="0"/>
        <w:numId w:val="1"/>
      </w:numPr>
      <w:spacing w:before="100" w:beforeLines="0" w:beforeAutospacing="0" w:after="90" w:afterLines="0" w:afterAutospacing="0" w:line="576" w:lineRule="auto"/>
      <w:outlineLvl w:val="0"/>
    </w:pPr>
    <w:rPr>
      <w:b/>
      <w:kern w:val="44"/>
      <w:sz w:val="28"/>
    </w:rPr>
  </w:style>
  <w:style w:type="paragraph" w:styleId="3">
    <w:name w:val="heading 2"/>
    <w:basedOn w:val="1"/>
    <w:next w:val="1"/>
    <w:link w:val="29"/>
    <w:qFormat/>
    <w:uiPriority w:val="1"/>
    <w:pPr>
      <w:keepNext/>
      <w:keepLines/>
      <w:numPr>
        <w:ilvl w:val="0"/>
        <w:numId w:val="1"/>
      </w:numPr>
      <w:spacing w:before="260" w:beforeLines="0" w:beforeAutospacing="0" w:after="260" w:afterLines="0" w:afterAutospacing="0" w:line="413" w:lineRule="auto"/>
      <w:jc w:val="left"/>
      <w:outlineLvl w:val="1"/>
    </w:pPr>
    <w:rPr>
      <w:rFonts w:ascii="Arial" w:hAnsi="Arial"/>
      <w:b/>
      <w:sz w:val="24"/>
    </w:rPr>
  </w:style>
  <w:style w:type="paragraph" w:styleId="4">
    <w:name w:val="heading 3"/>
    <w:basedOn w:val="1"/>
    <w:next w:val="1"/>
    <w:qFormat/>
    <w:uiPriority w:val="1"/>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qFormat/>
    <w:uiPriority w:val="1"/>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11">
    <w:name w:val="caption"/>
    <w:basedOn w:val="1"/>
    <w:next w:val="1"/>
    <w:link w:val="24"/>
    <w:qFormat/>
    <w:uiPriority w:val="0"/>
    <w:pPr>
      <w:spacing w:after="120"/>
    </w:pPr>
    <w:rPr>
      <w:i/>
    </w:rPr>
  </w:style>
  <w:style w:type="paragraph" w:styleId="12">
    <w:name w:val="Body Text"/>
    <w:basedOn w:val="1"/>
    <w:qFormat/>
    <w:uiPriority w:val="1"/>
    <w:rPr>
      <w:rFonts w:ascii="微软雅黑" w:hAnsi="微软雅黑" w:eastAsia="微软雅黑" w:cs="微软雅黑"/>
      <w:sz w:val="22"/>
      <w:szCs w:val="22"/>
      <w:lang w:val="en-US" w:eastAsia="zh-CN" w:bidi="ar-SA"/>
    </w:rPr>
  </w:style>
  <w:style w:type="paragraph" w:styleId="13">
    <w:name w:val="footer"/>
    <w:basedOn w:val="1"/>
    <w:qFormat/>
    <w:uiPriority w:val="99"/>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rPr>
      <w:rFonts w:eastAsia="微软雅黑" w:asciiTheme="minorAscii" w:hAnsiTheme="minorAscii"/>
    </w:rPr>
  </w:style>
  <w:style w:type="paragraph" w:styleId="16">
    <w:name w:val="toc 2"/>
    <w:basedOn w:val="1"/>
    <w:next w:val="1"/>
    <w:qFormat/>
    <w:uiPriority w:val="0"/>
    <w:pPr>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Emphasis"/>
    <w:basedOn w:val="20"/>
    <w:qFormat/>
    <w:uiPriority w:val="0"/>
    <w:rPr>
      <w:i/>
    </w:rPr>
  </w:style>
  <w:style w:type="character" w:styleId="23">
    <w:name w:val="Hyperlink"/>
    <w:basedOn w:val="24"/>
    <w:qFormat/>
    <w:uiPriority w:val="0"/>
    <w:rPr>
      <w:color w:val="0000FF"/>
      <w:u w:val="single"/>
    </w:rPr>
  </w:style>
  <w:style w:type="character" w:customStyle="1" w:styleId="24">
    <w:name w:val="Caption Char"/>
    <w:basedOn w:val="20"/>
    <w:link w:val="11"/>
    <w:qFormat/>
    <w:uiPriority w:val="0"/>
    <w:rPr>
      <w:i/>
    </w:rPr>
  </w:style>
  <w:style w:type="paragraph" w:styleId="25">
    <w:name w:val="List Paragraph"/>
    <w:basedOn w:val="1"/>
    <w:unhideWhenUsed/>
    <w:qFormat/>
    <w:uiPriority w:val="99"/>
    <w:pPr>
      <w:ind w:left="720"/>
      <w:contextualSpacing/>
    </w:pPr>
  </w:style>
  <w:style w:type="paragraph" w:customStyle="1" w:styleId="26">
    <w:name w:val="Table Paragraph"/>
    <w:basedOn w:val="1"/>
    <w:qFormat/>
    <w:uiPriority w:val="1"/>
    <w:pPr>
      <w:spacing w:line="311" w:lineRule="exact"/>
      <w:jc w:val="center"/>
    </w:pPr>
    <w:rPr>
      <w:rFonts w:ascii="微软雅黑" w:hAnsi="微软雅黑" w:eastAsia="微软雅黑" w:cs="微软雅黑"/>
      <w:lang w:val="en-US" w:eastAsia="zh-CN" w:bidi="ar-SA"/>
    </w:rPr>
  </w:style>
  <w:style w:type="paragraph" w:customStyle="1" w:styleId="27">
    <w:name w:val="WPSOffice手动目录 1"/>
    <w:qFormat/>
    <w:uiPriority w:val="0"/>
    <w:pPr>
      <w:ind w:leftChars="0"/>
    </w:pPr>
    <w:rPr>
      <w:rFonts w:asciiTheme="minorHAnsi" w:hAnsiTheme="minorHAnsi" w:eastAsiaTheme="minorEastAsia" w:cstheme="minorBidi"/>
      <w:sz w:val="20"/>
      <w:szCs w:val="20"/>
    </w:rPr>
  </w:style>
  <w:style w:type="paragraph" w:customStyle="1" w:styleId="28">
    <w:name w:val="WPSOffice手动目录 2"/>
    <w:qFormat/>
    <w:uiPriority w:val="0"/>
    <w:pPr>
      <w:ind w:leftChars="200"/>
    </w:pPr>
    <w:rPr>
      <w:rFonts w:asciiTheme="minorHAnsi" w:hAnsiTheme="minorHAnsi" w:eastAsiaTheme="minorEastAsia" w:cstheme="minorBidi"/>
      <w:sz w:val="20"/>
      <w:szCs w:val="20"/>
    </w:rPr>
  </w:style>
  <w:style w:type="character" w:customStyle="1" w:styleId="29">
    <w:name w:val="标题 2 Char"/>
    <w:link w:val="3"/>
    <w:qFormat/>
    <w:uiPriority w:val="1"/>
    <w:rPr>
      <w:rFonts w:ascii="Arial" w:hAnsi="Arial"/>
      <w:b/>
      <w:sz w:val="24"/>
    </w:rPr>
  </w:style>
  <w:style w:type="character" w:customStyle="1" w:styleId="30">
    <w:name w:val="font31"/>
    <w:basedOn w:val="20"/>
    <w:qFormat/>
    <w:uiPriority w:val="0"/>
    <w:rPr>
      <w:rFonts w:hint="eastAsia" w:ascii="宋体" w:hAnsi="宋体" w:eastAsia="宋体" w:cs="宋体"/>
      <w:color w:val="404040"/>
      <w:sz w:val="23"/>
      <w:szCs w:val="23"/>
      <w:u w:val="none"/>
    </w:rPr>
  </w:style>
  <w:style w:type="character" w:customStyle="1" w:styleId="31">
    <w:name w:val="font21"/>
    <w:basedOn w:val="20"/>
    <w:qFormat/>
    <w:uiPriority w:val="0"/>
    <w:rPr>
      <w:rFonts w:hint="default" w:ascii="Segoe UI" w:hAnsi="Segoe UI" w:eastAsia="Segoe UI" w:cs="Segoe UI"/>
      <w:color w:val="404040"/>
      <w:sz w:val="23"/>
      <w:szCs w:val="23"/>
      <w:u w:val="none"/>
    </w:rPr>
  </w:style>
  <w:style w:type="character" w:customStyle="1" w:styleId="32">
    <w:name w:val="font11"/>
    <w:basedOn w:val="20"/>
    <w:qFormat/>
    <w:uiPriority w:val="0"/>
    <w:rPr>
      <w:rFonts w:hint="default" w:ascii="Segoe UI" w:hAnsi="Segoe UI" w:eastAsia="Segoe UI" w:cs="Segoe UI"/>
      <w:color w:val="40404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image" Target="media/image3.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mple\Desktop\Briocean\&#24066;&#22330;&#27934;&#23519;&#25253;&#21578;\8&#26376;&#24066;&#22330;&#27934;&#23519;&#25253;&#21578;\&#23439;&#35266;&#37096;&#20998;&#25968;&#25454;\1-&#21046;&#36896;&#19994;PMI%20&#21322;&#23548;&#20307;&#38144;&#21806;&#39069;.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mple\Desktop\Briocean\&#24066;&#22330;&#27934;&#23519;&#25253;&#21578;\8&#26376;&#24066;&#22330;&#27934;&#23519;&#25253;&#21578;\&#23439;&#35266;&#37096;&#20998;&#25968;&#25454;\3-&#32654;&#22269;&#21313;&#24180;&#26399;&#22269;&#20538;&#25910;&#30410;&#29575;&#21382;&#21490;&#25968;&#2545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mple\Desktop\Briocean\&#24066;&#22330;&#27934;&#23519;&#25253;&#21578;\8&#26376;&#24066;&#22330;&#27934;&#23519;&#25253;&#21578;\&#23439;&#35266;&#37096;&#20998;&#25968;&#25454;\2-&#36153;&#22478;&#21322;&#23548;&#20307;&#25351;&#25968;&#21382;&#21490;&#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08982934553618"/>
          <c:y val="0.0231117065818121"/>
          <c:w val="0.906318123037133"/>
          <c:h val="0.809230769230769"/>
        </c:manualLayout>
      </c:layout>
      <c:barChart>
        <c:barDir val="col"/>
        <c:grouping val="clustered"/>
        <c:varyColors val="0"/>
        <c:ser>
          <c:idx val="0"/>
          <c:order val="0"/>
          <c:tx>
            <c:strRef>
              <c:f>'[1-制造业PMI 半导体销售额.xlsx]2. 半导体销售额'!$B$1</c:f>
              <c:strCache>
                <c:ptCount val="1"/>
                <c:pt idx="0">
                  <c:v>Global（USD, Billion）</c:v>
                </c:pt>
              </c:strCache>
            </c:strRef>
          </c:tx>
          <c:spPr>
            <a:solidFill>
              <a:srgbClr val="7030A0">
                <a:alpha val="97000"/>
              </a:srgbClr>
            </a:solidFill>
            <a:ln>
              <a:noFill/>
            </a:ln>
            <a:effectLst/>
          </c:spPr>
          <c:invertIfNegative val="0"/>
          <c:dLbls>
            <c:delete val="1"/>
          </c:dLbls>
          <c:cat>
            <c:strRef>
              <c:extLst>
                <c:ext xmlns:c15="http://schemas.microsoft.com/office/drawing/2012/chart" uri="{02D57815-91ED-43cb-92C2-25804820EDAC}">
                  <c15:fullRef>
                    <c15:sqref>'[1-制造业PMI 半导体销售额.xlsx]2. 半导体销售额'!$A$22:$A$44</c15:sqref>
                  </c15:fullRef>
                </c:ext>
              </c:extLst>
              <c:f>'[1-制造业PMI 半导体销售额.xlsx]2. 半导体销售额'!$A$28:$A$44</c:f>
              <c:strCache>
                <c:ptCount val="17"/>
                <c:pt idx="0" c:formatCode="@">
                  <c:v>2024-03</c:v>
                </c:pt>
                <c:pt idx="1" c:formatCode="@">
                  <c:v>2024-04</c:v>
                </c:pt>
                <c:pt idx="2" c:formatCode="@">
                  <c:v>2024-05</c:v>
                </c:pt>
                <c:pt idx="3" c:formatCode="@">
                  <c:v>2024-06</c:v>
                </c:pt>
                <c:pt idx="4" c:formatCode="@">
                  <c:v>2024-07</c:v>
                </c:pt>
                <c:pt idx="5" c:formatCode="@">
                  <c:v>2024-08</c:v>
                </c:pt>
                <c:pt idx="6" c:formatCode="@">
                  <c:v>2024-09</c:v>
                </c:pt>
                <c:pt idx="7" c:formatCode="@">
                  <c:v>2024-10</c:v>
                </c:pt>
                <c:pt idx="8" c:formatCode="@">
                  <c:v>2024-11</c:v>
                </c:pt>
                <c:pt idx="9" c:formatCode="@">
                  <c:v>2024-12</c:v>
                </c:pt>
                <c:pt idx="10" c:formatCode="@">
                  <c:v>2025-01</c:v>
                </c:pt>
                <c:pt idx="11" c:formatCode="@">
                  <c:v>2025-02</c:v>
                </c:pt>
                <c:pt idx="12" c:formatCode="@">
                  <c:v>2025-03</c:v>
                </c:pt>
                <c:pt idx="13" c:formatCode="@">
                  <c:v>2025-04</c:v>
                </c:pt>
                <c:pt idx="14" c:formatCode="@">
                  <c:v>2025-05</c:v>
                </c:pt>
                <c:pt idx="15" c:formatCode="@">
                  <c:v>2025-06</c:v>
                </c:pt>
                <c:pt idx="16" c:formatCode="@">
                  <c:v>2025-07</c:v>
                </c:pt>
              </c:strCache>
            </c:strRef>
          </c:cat>
          <c:val>
            <c:numRef>
              <c:extLst>
                <c:ext xmlns:c15="http://schemas.microsoft.com/office/drawing/2012/chart" uri="{02D57815-91ED-43cb-92C2-25804820EDAC}">
                  <c15:fullRef>
                    <c15:sqref>'2. 半导体销售额'!$B$22:$B$44</c15:sqref>
                  </c15:fullRef>
                </c:ext>
              </c:extLst>
              <c:f>'[1-制造业PMI 半导体销售额.xlsx]2. 半导体销售额'!$B$28:$B$44</c:f>
              <c:numCache>
                <c:formatCode>0.00_ </c:formatCode>
                <c:ptCount val="17"/>
                <c:pt idx="0">
                  <c:v>45.91</c:v>
                </c:pt>
                <c:pt idx="1">
                  <c:v>46.43</c:v>
                </c:pt>
                <c:pt idx="2">
                  <c:v>49.1</c:v>
                </c:pt>
                <c:pt idx="3">
                  <c:v>50</c:v>
                </c:pt>
                <c:pt idx="4">
                  <c:v>51.32</c:v>
                </c:pt>
                <c:pt idx="5">
                  <c:v>53.1</c:v>
                </c:pt>
                <c:pt idx="6">
                  <c:v>55.32</c:v>
                </c:pt>
                <c:pt idx="7">
                  <c:v>56.88</c:v>
                </c:pt>
                <c:pt idx="8">
                  <c:v>57.64</c:v>
                </c:pt>
                <c:pt idx="9" c:formatCode="General">
                  <c:v>56.97</c:v>
                </c:pt>
                <c:pt idx="10">
                  <c:v>56.53</c:v>
                </c:pt>
                <c:pt idx="11">
                  <c:v>54.92</c:v>
                </c:pt>
                <c:pt idx="12">
                  <c:v>55.58</c:v>
                </c:pt>
                <c:pt idx="13">
                  <c:v>56.96</c:v>
                </c:pt>
                <c:pt idx="14">
                  <c:v>58.98</c:v>
                </c:pt>
                <c:pt idx="15" c:formatCode="General">
                  <c:v>59.91</c:v>
                </c:pt>
                <c:pt idx="16" c:formatCode="General">
                  <c:v>62.1</c:v>
                </c:pt>
              </c:numCache>
            </c:numRef>
          </c:val>
        </c:ser>
        <c:dLbls>
          <c:showLegendKey val="0"/>
          <c:showVal val="0"/>
          <c:showCatName val="0"/>
          <c:showSerName val="0"/>
          <c:showPercent val="0"/>
          <c:showBubbleSize val="0"/>
        </c:dLbls>
        <c:gapWidth val="100"/>
        <c:axId val="813609704"/>
        <c:axId val="590094577"/>
      </c:barChart>
      <c:lineChart>
        <c:grouping val="standard"/>
        <c:varyColors val="0"/>
        <c:ser>
          <c:idx val="1"/>
          <c:order val="1"/>
          <c:tx>
            <c:strRef>
              <c:f>'[1-制造业PMI 半导体销售额.xlsx]2. 半导体销售额'!$C$1</c:f>
              <c:strCache>
                <c:ptCount val="1"/>
                <c:pt idx="0">
                  <c:v>YoY</c:v>
                </c:pt>
              </c:strCache>
            </c:strRef>
          </c:tx>
          <c:spPr>
            <a:ln w="19050" cap="rnd">
              <a:solidFill>
                <a:schemeClr val="accent6"/>
              </a:solidFill>
              <a:round/>
            </a:ln>
            <a:effectLst/>
          </c:spPr>
          <c:marker>
            <c:symbol val="none"/>
          </c:marker>
          <c:dLbls>
            <c:delete val="1"/>
          </c:dLbls>
          <c:cat>
            <c:strRef>
              <c:extLst>
                <c:ext xmlns:c15="http://schemas.microsoft.com/office/drawing/2012/chart" uri="{02D57815-91ED-43cb-92C2-25804820EDAC}">
                  <c15:fullRef>
                    <c15:sqref>'[1-制造业PMI 半导体销售额.xlsx]2. 半导体销售额'!$A$22:$A$44</c15:sqref>
                  </c15:fullRef>
                </c:ext>
              </c:extLst>
              <c:f>'[1-制造业PMI 半导体销售额.xlsx]2. 半导体销售额'!$A$28:$A$44</c:f>
              <c:strCache>
                <c:ptCount val="17"/>
                <c:pt idx="0" c:formatCode="@">
                  <c:v>2024-03</c:v>
                </c:pt>
                <c:pt idx="1" c:formatCode="@">
                  <c:v>2024-04</c:v>
                </c:pt>
                <c:pt idx="2" c:formatCode="@">
                  <c:v>2024-05</c:v>
                </c:pt>
                <c:pt idx="3" c:formatCode="@">
                  <c:v>2024-06</c:v>
                </c:pt>
                <c:pt idx="4" c:formatCode="@">
                  <c:v>2024-07</c:v>
                </c:pt>
                <c:pt idx="5" c:formatCode="@">
                  <c:v>2024-08</c:v>
                </c:pt>
                <c:pt idx="6" c:formatCode="@">
                  <c:v>2024-09</c:v>
                </c:pt>
                <c:pt idx="7" c:formatCode="@">
                  <c:v>2024-10</c:v>
                </c:pt>
                <c:pt idx="8" c:formatCode="@">
                  <c:v>2024-11</c:v>
                </c:pt>
                <c:pt idx="9" c:formatCode="@">
                  <c:v>2024-12</c:v>
                </c:pt>
                <c:pt idx="10" c:formatCode="@">
                  <c:v>2025-01</c:v>
                </c:pt>
                <c:pt idx="11" c:formatCode="@">
                  <c:v>2025-02</c:v>
                </c:pt>
                <c:pt idx="12" c:formatCode="@">
                  <c:v>2025-03</c:v>
                </c:pt>
                <c:pt idx="13" c:formatCode="@">
                  <c:v>2025-04</c:v>
                </c:pt>
                <c:pt idx="14" c:formatCode="@">
                  <c:v>2025-05</c:v>
                </c:pt>
                <c:pt idx="15" c:formatCode="@">
                  <c:v>2025-06</c:v>
                </c:pt>
                <c:pt idx="16" c:formatCode="@">
                  <c:v>2025-07</c:v>
                </c:pt>
              </c:strCache>
            </c:strRef>
          </c:cat>
          <c:val>
            <c:numRef>
              <c:extLst>
                <c:ext xmlns:c15="http://schemas.microsoft.com/office/drawing/2012/chart" uri="{02D57815-91ED-43cb-92C2-25804820EDAC}">
                  <c15:fullRef>
                    <c15:sqref>'2. 半导体销售额'!$C$22:$C$44</c15:sqref>
                  </c15:fullRef>
                </c:ext>
              </c:extLst>
              <c:f>'[1-制造业PMI 半导体销售额.xlsx]2. 半导体销售额'!$C$28:$C$44</c:f>
              <c:numCache>
                <c:formatCode>0.0%</c:formatCode>
                <c:ptCount val="17"/>
                <c:pt idx="0">
                  <c:v>0.152648757218177</c:v>
                </c:pt>
                <c:pt idx="1">
                  <c:v>0.162202753441802</c:v>
                </c:pt>
                <c:pt idx="2">
                  <c:v>0.205203730976927</c:v>
                </c:pt>
                <c:pt idx="3">
                  <c:v>0.204529029149602</c:v>
                </c:pt>
                <c:pt idx="4">
                  <c:v>0.187413234613605</c:v>
                </c:pt>
                <c:pt idx="5">
                  <c:v>0.205722070844687</c:v>
                </c:pt>
                <c:pt idx="6">
                  <c:v>0.232345734016485</c:v>
                </c:pt>
                <c:pt idx="7">
                  <c:v>0.22007722007722</c:v>
                </c:pt>
                <c:pt idx="8">
                  <c:v>0.201333889120467</c:v>
                </c:pt>
                <c:pt idx="9">
                  <c:v>0.170776818742294</c:v>
                </c:pt>
                <c:pt idx="10">
                  <c:v>0.186857022884736</c:v>
                </c:pt>
                <c:pt idx="11">
                  <c:v>0.189517002382499</c:v>
                </c:pt>
                <c:pt idx="12">
                  <c:v>0.210629492485297</c:v>
                </c:pt>
                <c:pt idx="13">
                  <c:v>0.226793021753177</c:v>
                </c:pt>
                <c:pt idx="14">
                  <c:v>0.20122199592668</c:v>
                </c:pt>
                <c:pt idx="15">
                  <c:v>0.1982</c:v>
                </c:pt>
                <c:pt idx="16">
                  <c:v>0.210054559625877</c:v>
                </c:pt>
              </c:numCache>
            </c:numRef>
          </c:val>
          <c:smooth val="0"/>
        </c:ser>
        <c:dLbls>
          <c:showLegendKey val="0"/>
          <c:showVal val="0"/>
          <c:showCatName val="0"/>
          <c:showSerName val="0"/>
          <c:showPercent val="0"/>
          <c:showBubbleSize val="0"/>
        </c:dLbls>
        <c:marker val="0"/>
        <c:smooth val="0"/>
        <c:axId val="534584315"/>
        <c:axId val="479749348"/>
      </c:lineChart>
      <c:catAx>
        <c:axId val="813609704"/>
        <c:scaling>
          <c:orientation val="minMax"/>
        </c:scaling>
        <c:delete val="0"/>
        <c:axPos val="b"/>
        <c:numFmt formatCode="General" sourceLinked="0"/>
        <c:majorTickMark val="none"/>
        <c:minorTickMark val="none"/>
        <c:tickLblPos val="nextTo"/>
        <c:spPr>
          <a:noFill/>
          <a:ln w="6350" cap="flat" cmpd="sng" algn="ctr">
            <a:solidFill>
              <a:schemeClr val="tx1"/>
            </a:solidFill>
            <a:round/>
          </a:ln>
          <a:effectLst/>
        </c:spPr>
        <c:txPr>
          <a:bodyPr rot="-5400000" spcFirstLastPara="0" vertOverflow="ellipsis" vert="horz" wrap="square" anchor="ctr" anchorCtr="1"/>
          <a:lstStyle/>
          <a:p>
            <a:pPr>
              <a:defRPr lang="zh-CN" sz="900" b="0" i="0" u="none" strike="noStrike" kern="1200" baseline="0">
                <a:solidFill>
                  <a:sysClr val="windowText" lastClr="000000"/>
                </a:solidFill>
                <a:latin typeface="思源黑体 CN Normal" panose="020B0400000000000000" charset="-122"/>
                <a:ea typeface="思源黑体 CN Normal" panose="020B0400000000000000" charset="-122"/>
                <a:cs typeface="思源黑体 CN Normal" panose="020B0400000000000000" charset="-122"/>
                <a:sym typeface="思源黑体 CN Normal" panose="020B0400000000000000" charset="-122"/>
              </a:defRPr>
            </a:pPr>
          </a:p>
        </c:txPr>
        <c:crossAx val="590094577"/>
        <c:crosses val="autoZero"/>
        <c:auto val="1"/>
        <c:lblAlgn val="ctr"/>
        <c:lblOffset val="100"/>
        <c:noMultiLvlLbl val="0"/>
      </c:catAx>
      <c:valAx>
        <c:axId val="590094577"/>
        <c:scaling>
          <c:orientation val="minMax"/>
          <c:min val="25"/>
        </c:scaling>
        <c:delete val="0"/>
        <c:axPos val="l"/>
        <c:numFmt formatCode="0_);[Red]\(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思源黑体 CN Normal" panose="020B0400000000000000" charset="-122"/>
                <a:ea typeface="思源黑体 CN Normal" panose="020B0400000000000000" charset="-122"/>
                <a:cs typeface="思源黑体 CN Normal" panose="020B0400000000000000" charset="-122"/>
                <a:sym typeface="思源黑体 CN Normal" panose="020B0400000000000000" charset="-122"/>
              </a:defRPr>
            </a:pPr>
          </a:p>
        </c:txPr>
        <c:crossAx val="813609704"/>
        <c:crosses val="autoZero"/>
        <c:crossBetween val="between"/>
      </c:valAx>
      <c:catAx>
        <c:axId val="534584315"/>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ysClr val="windowText" lastClr="000000"/>
                </a:solidFill>
                <a:latin typeface="思源黑体 CN Normal" panose="020B0400000000000000" charset="-122"/>
                <a:ea typeface="思源黑体 CN Normal" panose="020B0400000000000000" charset="-122"/>
                <a:cs typeface="思源黑体 CN Normal" panose="020B0400000000000000" charset="-122"/>
                <a:sym typeface="思源黑体 CN Normal" panose="020B0400000000000000" charset="-122"/>
              </a:defRPr>
            </a:pPr>
          </a:p>
        </c:txPr>
        <c:crossAx val="479749348"/>
        <c:crosses val="autoZero"/>
        <c:auto val="1"/>
        <c:lblAlgn val="ctr"/>
        <c:lblOffset val="100"/>
        <c:noMultiLvlLbl val="0"/>
      </c:catAx>
      <c:valAx>
        <c:axId val="479749348"/>
        <c:scaling>
          <c:orientation val="minMax"/>
          <c:max val="0.5"/>
          <c:min val="-0.5"/>
        </c:scaling>
        <c:delete val="0"/>
        <c:axPos val="r"/>
        <c:numFmt formatCode="0%" sourceLinked="0"/>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思源黑体 CN Normal" panose="020B0400000000000000" charset="-122"/>
                <a:ea typeface="思源黑体 CN Normal" panose="020B0400000000000000" charset="-122"/>
                <a:cs typeface="思源黑体 CN Normal" panose="020B0400000000000000" charset="-122"/>
                <a:sym typeface="思源黑体 CN Normal" panose="020B0400000000000000" charset="-122"/>
              </a:defRPr>
            </a:pPr>
          </a:p>
        </c:txPr>
        <c:crossAx val="534584315"/>
        <c:crosses val="max"/>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思源黑体 CN Normal" panose="020B0400000000000000" charset="-122"/>
                <a:ea typeface="思源黑体 CN Normal" panose="020B0400000000000000" charset="-122"/>
                <a:cs typeface="思源黑体 CN Normal" panose="020B0400000000000000" charset="-122"/>
                <a:sym typeface="思源黑体 CN Normal" panose="020B0400000000000000" charset="-122"/>
              </a:defRPr>
            </a:pPr>
          </a:p>
        </c:txPr>
      </c:legendEntry>
      <c:legendEntry>
        <c:idx val="1"/>
        <c:txPr>
          <a:bodyPr rot="0" spcFirstLastPara="0" vertOverflow="ellipsis" vert="horz" wrap="square" anchor="ctr" anchorCtr="1"/>
          <a:lstStyle/>
          <a:p>
            <a:pPr>
              <a:defRPr lang="zh-CN" sz="900" b="0" i="0" u="none" strike="noStrike" kern="1200" baseline="0">
                <a:solidFill>
                  <a:sysClr val="windowText" lastClr="000000"/>
                </a:solidFill>
                <a:latin typeface="思源黑体 CN Normal" panose="020B0400000000000000" charset="-122"/>
                <a:ea typeface="思源黑体 CN Normal" panose="020B0400000000000000" charset="-122"/>
                <a:cs typeface="思源黑体 CN Normal" panose="020B0400000000000000" charset="-122"/>
                <a:sym typeface="思源黑体 CN Normal" panose="020B0400000000000000" charset="-122"/>
              </a:defRPr>
            </a:pPr>
          </a:p>
        </c:txPr>
      </c:legendEntry>
      <c:layout>
        <c:manualLayout>
          <c:xMode val="edge"/>
          <c:yMode val="edge"/>
          <c:x val="0.0492139956717709"/>
          <c:y val="0.0117729341241363"/>
          <c:w val="0.304082763716978"/>
          <c:h val="0.074434199497066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思源黑体 CN Normal" panose="020B0400000000000000" charset="-122"/>
              <a:ea typeface="思源黑体 CN Normal" panose="020B0400000000000000" charset="-122"/>
              <a:cs typeface="思源黑体 CN Normal" panose="020B0400000000000000" charset="-122"/>
              <a:sym typeface="思源黑体 CN Normal" panose="020B0400000000000000" charset="-122"/>
            </a:defRPr>
          </a:pPr>
        </a:p>
      </c:txPr>
    </c:legend>
    <c:plotVisOnly val="1"/>
    <c:dispBlanksAs val="gap"/>
    <c:showDLblsOverMax val="0"/>
  </c:chart>
  <c:spPr>
    <a:solidFill>
      <a:schemeClr val="bg1"/>
    </a:solidFill>
    <a:ln w="9525" cap="flat" cmpd="sng" algn="ctr">
      <a:noFill/>
      <a:round/>
    </a:ln>
    <a:effectLst/>
  </c:spPr>
  <c:txPr>
    <a:bodyPr/>
    <a:lstStyle/>
    <a:p>
      <a:pPr>
        <a:defRPr lang="zh-CN" sz="900" b="0">
          <a:solidFill>
            <a:sysClr val="windowText" lastClr="000000"/>
          </a:solidFill>
          <a:latin typeface="思源黑体 CN Normal" panose="020B0400000000000000" charset="-122"/>
          <a:ea typeface="思源黑体 CN Normal" panose="020B0400000000000000" charset="-122"/>
          <a:cs typeface="思源黑体 CN Normal" panose="020B0400000000000000" charset="-122"/>
          <a:sym typeface="思源黑体 CN Normal" panose="020B0400000000000000"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78648820905035"/>
          <c:y val="0.0266288433382138"/>
          <c:w val="0.920635245901639"/>
          <c:h val="0.736"/>
        </c:manualLayout>
      </c:layout>
      <c:lineChart>
        <c:grouping val="standard"/>
        <c:varyColors val="0"/>
        <c:ser>
          <c:idx val="0"/>
          <c:order val="0"/>
          <c:tx>
            <c:strRef>
              <c:f>"U.S. 10-Year Treasury Yield (%)"</c:f>
              <c:strCache>
                <c:ptCount val="1"/>
                <c:pt idx="0">
                  <c:v>U.S. 10-Year Treasury Yield (%)</c:v>
                </c:pt>
              </c:strCache>
            </c:strRef>
          </c:tx>
          <c:spPr>
            <a:ln w="19050" cap="rnd">
              <a:solidFill>
                <a:srgbClr val="7030A0"/>
              </a:solidFill>
              <a:round/>
            </a:ln>
            <a:effectLst/>
          </c:spPr>
          <c:marker>
            <c:symbol val="none"/>
          </c:marker>
          <c:dLbls>
            <c:delete val="1"/>
          </c:dLbls>
          <c:cat>
            <c:numRef>
              <c:extLst>
                <c:ext xmlns:c15="http://schemas.microsoft.com/office/drawing/2012/chart" uri="{02D57815-91ED-43cb-92C2-25804820EDAC}">
                  <c15:fullRef>
                    <c15:sqref>'[3-美国十年期国债收益率历史数据.xlsx]美国十年期国债收益率历史数据'!$A$87:$A$658</c15:sqref>
                  </c15:fullRef>
                </c:ext>
              </c:extLst>
              <c:f>'[3-美国十年期国债收益率历史数据.xlsx]美国十年期国债收益率历史数据'!$A$102:$A$658</c:f>
              <c:numCache>
                <c:formatCode>dd\-mmm\-yy</c:formatCode>
                <c:ptCount val="557"/>
                <c:pt idx="0" c:formatCode="dd\-mmm\-yy">
                  <c:v>45155</c:v>
                </c:pt>
                <c:pt idx="1" c:formatCode="dd\-mmm\-yy">
                  <c:v>45156</c:v>
                </c:pt>
                <c:pt idx="2" c:formatCode="dd\-mmm\-yy">
                  <c:v>45159</c:v>
                </c:pt>
                <c:pt idx="3" c:formatCode="dd\-mmm\-yy">
                  <c:v>45160</c:v>
                </c:pt>
                <c:pt idx="4" c:formatCode="dd\-mmm\-yy">
                  <c:v>45161</c:v>
                </c:pt>
                <c:pt idx="5" c:formatCode="dd\-mmm\-yy">
                  <c:v>45162</c:v>
                </c:pt>
                <c:pt idx="6" c:formatCode="dd\-mmm\-yy">
                  <c:v>45163</c:v>
                </c:pt>
                <c:pt idx="7" c:formatCode="dd\-mmm\-yy">
                  <c:v>45166</c:v>
                </c:pt>
                <c:pt idx="8" c:formatCode="dd\-mmm\-yy">
                  <c:v>45167</c:v>
                </c:pt>
                <c:pt idx="9" c:formatCode="dd\-mmm\-yy">
                  <c:v>45168</c:v>
                </c:pt>
                <c:pt idx="10" c:formatCode="dd\-mmm\-yy">
                  <c:v>45169</c:v>
                </c:pt>
                <c:pt idx="11" c:formatCode="dd\-mmm\-yy">
                  <c:v>45170</c:v>
                </c:pt>
                <c:pt idx="12" c:formatCode="dd\-mmm\-yy">
                  <c:v>45172</c:v>
                </c:pt>
                <c:pt idx="13" c:formatCode="dd\-mmm\-yy">
                  <c:v>45173</c:v>
                </c:pt>
                <c:pt idx="14" c:formatCode="dd\-mmm\-yy">
                  <c:v>45174</c:v>
                </c:pt>
                <c:pt idx="15" c:formatCode="dd\-mmm\-yy">
                  <c:v>45175</c:v>
                </c:pt>
                <c:pt idx="16" c:formatCode="dd\-mmm\-yy">
                  <c:v>45176</c:v>
                </c:pt>
                <c:pt idx="17" c:formatCode="dd\-mmm\-yy">
                  <c:v>45177</c:v>
                </c:pt>
                <c:pt idx="18" c:formatCode="dd\-mmm\-yy">
                  <c:v>45180</c:v>
                </c:pt>
                <c:pt idx="19" c:formatCode="dd\-mmm\-yy">
                  <c:v>45181</c:v>
                </c:pt>
                <c:pt idx="20" c:formatCode="dd\-mmm\-yy">
                  <c:v>45182</c:v>
                </c:pt>
                <c:pt idx="21" c:formatCode="dd\-mmm\-yy">
                  <c:v>45183</c:v>
                </c:pt>
                <c:pt idx="22" c:formatCode="dd\-mmm\-yy">
                  <c:v>45184</c:v>
                </c:pt>
                <c:pt idx="23" c:formatCode="dd\-mmm\-yy">
                  <c:v>45187</c:v>
                </c:pt>
                <c:pt idx="24" c:formatCode="dd\-mmm\-yy">
                  <c:v>45188</c:v>
                </c:pt>
                <c:pt idx="25" c:formatCode="dd\-mmm\-yy">
                  <c:v>45189</c:v>
                </c:pt>
                <c:pt idx="26" c:formatCode="dd\-mmm\-yy">
                  <c:v>45190</c:v>
                </c:pt>
                <c:pt idx="27" c:formatCode="dd\-mmm\-yy">
                  <c:v>45191</c:v>
                </c:pt>
                <c:pt idx="28" c:formatCode="dd\-mmm\-yy">
                  <c:v>45194</c:v>
                </c:pt>
                <c:pt idx="29" c:formatCode="dd\-mmm\-yy">
                  <c:v>45195</c:v>
                </c:pt>
                <c:pt idx="30" c:formatCode="dd\-mmm\-yy">
                  <c:v>45196</c:v>
                </c:pt>
                <c:pt idx="31" c:formatCode="dd\-mmm\-yy">
                  <c:v>45197</c:v>
                </c:pt>
                <c:pt idx="32" c:formatCode="dd\-mmm\-yy">
                  <c:v>45198</c:v>
                </c:pt>
                <c:pt idx="33" c:formatCode="dd\-mmm\-yy">
                  <c:v>45201</c:v>
                </c:pt>
                <c:pt idx="34" c:formatCode="dd\-mmm\-yy">
                  <c:v>45202</c:v>
                </c:pt>
                <c:pt idx="35" c:formatCode="dd\-mmm\-yy">
                  <c:v>45203</c:v>
                </c:pt>
                <c:pt idx="36" c:formatCode="dd\-mmm\-yy">
                  <c:v>45204</c:v>
                </c:pt>
                <c:pt idx="37" c:formatCode="dd\-mmm\-yy">
                  <c:v>45205</c:v>
                </c:pt>
                <c:pt idx="38" c:formatCode="dd\-mmm\-yy">
                  <c:v>45207</c:v>
                </c:pt>
                <c:pt idx="39" c:formatCode="dd\-mmm\-yy">
                  <c:v>45208</c:v>
                </c:pt>
                <c:pt idx="40" c:formatCode="dd\-mmm\-yy">
                  <c:v>45209</c:v>
                </c:pt>
                <c:pt idx="41" c:formatCode="dd\-mmm\-yy">
                  <c:v>45210</c:v>
                </c:pt>
                <c:pt idx="42" c:formatCode="dd\-mmm\-yy">
                  <c:v>45211</c:v>
                </c:pt>
                <c:pt idx="43" c:formatCode="dd\-mmm\-yy">
                  <c:v>45212</c:v>
                </c:pt>
                <c:pt idx="44" c:formatCode="dd\-mmm\-yy">
                  <c:v>45215</c:v>
                </c:pt>
                <c:pt idx="45" c:formatCode="dd\-mmm\-yy">
                  <c:v>45216</c:v>
                </c:pt>
                <c:pt idx="46" c:formatCode="dd\-mmm\-yy">
                  <c:v>45217</c:v>
                </c:pt>
                <c:pt idx="47" c:formatCode="dd\-mmm\-yy">
                  <c:v>45218</c:v>
                </c:pt>
                <c:pt idx="48" c:formatCode="dd\-mmm\-yy">
                  <c:v>45219</c:v>
                </c:pt>
                <c:pt idx="49" c:formatCode="dd\-mmm\-yy">
                  <c:v>45222</c:v>
                </c:pt>
                <c:pt idx="50" c:formatCode="dd\-mmm\-yy">
                  <c:v>45223</c:v>
                </c:pt>
                <c:pt idx="51" c:formatCode="dd\-mmm\-yy">
                  <c:v>45224</c:v>
                </c:pt>
                <c:pt idx="52" c:formatCode="dd\-mmm\-yy">
                  <c:v>45225</c:v>
                </c:pt>
                <c:pt idx="53" c:formatCode="dd\-mmm\-yy">
                  <c:v>45226</c:v>
                </c:pt>
                <c:pt idx="54" c:formatCode="dd\-mmm\-yy">
                  <c:v>45229</c:v>
                </c:pt>
                <c:pt idx="55" c:formatCode="dd\-mmm\-yy">
                  <c:v>45230</c:v>
                </c:pt>
                <c:pt idx="56" c:formatCode="dd\-mmm\-yy">
                  <c:v>45231</c:v>
                </c:pt>
                <c:pt idx="57" c:formatCode="dd\-mmm\-yy">
                  <c:v>45232</c:v>
                </c:pt>
                <c:pt idx="58" c:formatCode="dd\-mmm\-yy">
                  <c:v>45233</c:v>
                </c:pt>
                <c:pt idx="59" c:formatCode="dd\-mmm\-yy">
                  <c:v>45236</c:v>
                </c:pt>
                <c:pt idx="60" c:formatCode="dd\-mmm\-yy">
                  <c:v>45237</c:v>
                </c:pt>
                <c:pt idx="61" c:formatCode="dd\-mmm\-yy">
                  <c:v>45238</c:v>
                </c:pt>
                <c:pt idx="62" c:formatCode="dd\-mmm\-yy">
                  <c:v>45239</c:v>
                </c:pt>
                <c:pt idx="63" c:formatCode="dd\-mmm\-yy">
                  <c:v>45240</c:v>
                </c:pt>
                <c:pt idx="64" c:formatCode="dd\-mmm\-yy">
                  <c:v>45243</c:v>
                </c:pt>
                <c:pt idx="65" c:formatCode="dd\-mmm\-yy">
                  <c:v>45244</c:v>
                </c:pt>
                <c:pt idx="66" c:formatCode="dd\-mmm\-yy">
                  <c:v>45245</c:v>
                </c:pt>
                <c:pt idx="67" c:formatCode="dd\-mmm\-yy">
                  <c:v>45246</c:v>
                </c:pt>
                <c:pt idx="68" c:formatCode="dd\-mmm\-yy">
                  <c:v>45247</c:v>
                </c:pt>
                <c:pt idx="69" c:formatCode="dd\-mmm\-yy">
                  <c:v>45250</c:v>
                </c:pt>
                <c:pt idx="70" c:formatCode="dd\-mmm\-yy">
                  <c:v>45251</c:v>
                </c:pt>
                <c:pt idx="71" c:formatCode="dd\-mmm\-yy">
                  <c:v>45252</c:v>
                </c:pt>
                <c:pt idx="72" c:formatCode="dd\-mmm\-yy">
                  <c:v>45253</c:v>
                </c:pt>
                <c:pt idx="73" c:formatCode="dd\-mmm\-yy">
                  <c:v>45254</c:v>
                </c:pt>
                <c:pt idx="74" c:formatCode="dd\-mmm\-yy">
                  <c:v>45257</c:v>
                </c:pt>
                <c:pt idx="75" c:formatCode="dd\-mmm\-yy">
                  <c:v>45258</c:v>
                </c:pt>
                <c:pt idx="76" c:formatCode="dd\-mmm\-yy">
                  <c:v>45259</c:v>
                </c:pt>
                <c:pt idx="77" c:formatCode="dd\-mmm\-yy">
                  <c:v>45260</c:v>
                </c:pt>
                <c:pt idx="78" c:formatCode="dd\-mmm\-yy">
                  <c:v>45261</c:v>
                </c:pt>
                <c:pt idx="79" c:formatCode="dd\-mmm\-yy">
                  <c:v>45264</c:v>
                </c:pt>
                <c:pt idx="80" c:formatCode="dd\-mmm\-yy">
                  <c:v>45265</c:v>
                </c:pt>
                <c:pt idx="81" c:formatCode="dd\-mmm\-yy">
                  <c:v>45266</c:v>
                </c:pt>
                <c:pt idx="82" c:formatCode="dd\-mmm\-yy">
                  <c:v>45267</c:v>
                </c:pt>
                <c:pt idx="83" c:formatCode="dd\-mmm\-yy">
                  <c:v>45268</c:v>
                </c:pt>
                <c:pt idx="84" c:formatCode="dd\-mmm\-yy">
                  <c:v>45271</c:v>
                </c:pt>
                <c:pt idx="85" c:formatCode="dd\-mmm\-yy">
                  <c:v>45272</c:v>
                </c:pt>
                <c:pt idx="86" c:formatCode="dd\-mmm\-yy">
                  <c:v>45273</c:v>
                </c:pt>
                <c:pt idx="87" c:formatCode="dd\-mmm\-yy">
                  <c:v>45274</c:v>
                </c:pt>
                <c:pt idx="88" c:formatCode="dd\-mmm\-yy">
                  <c:v>45275</c:v>
                </c:pt>
                <c:pt idx="89" c:formatCode="dd\-mmm\-yy">
                  <c:v>45278</c:v>
                </c:pt>
                <c:pt idx="90" c:formatCode="dd\-mmm\-yy">
                  <c:v>45279</c:v>
                </c:pt>
                <c:pt idx="91" c:formatCode="dd\-mmm\-yy">
                  <c:v>45280</c:v>
                </c:pt>
                <c:pt idx="92" c:formatCode="dd\-mmm\-yy">
                  <c:v>45281</c:v>
                </c:pt>
                <c:pt idx="93" c:formatCode="dd\-mmm\-yy">
                  <c:v>45282</c:v>
                </c:pt>
                <c:pt idx="94" c:formatCode="dd\-mmm\-yy">
                  <c:v>45285</c:v>
                </c:pt>
                <c:pt idx="95" c:formatCode="dd\-mmm\-yy">
                  <c:v>45286</c:v>
                </c:pt>
                <c:pt idx="96" c:formatCode="dd\-mmm\-yy">
                  <c:v>45287</c:v>
                </c:pt>
                <c:pt idx="97" c:formatCode="dd\-mmm\-yy">
                  <c:v>45288</c:v>
                </c:pt>
                <c:pt idx="98" c:formatCode="dd\-mmm\-yy">
                  <c:v>45289</c:v>
                </c:pt>
                <c:pt idx="99" c:formatCode="dd\-mmm\-yy">
                  <c:v>45292</c:v>
                </c:pt>
                <c:pt idx="100" c:formatCode="dd\-mmm\-yy">
                  <c:v>45293</c:v>
                </c:pt>
                <c:pt idx="101" c:formatCode="dd\-mmm\-yy">
                  <c:v>45294</c:v>
                </c:pt>
                <c:pt idx="102" c:formatCode="dd\-mmm\-yy">
                  <c:v>45295</c:v>
                </c:pt>
                <c:pt idx="103" c:formatCode="dd\-mmm\-yy">
                  <c:v>45296</c:v>
                </c:pt>
                <c:pt idx="104" c:formatCode="dd\-mmm\-yy">
                  <c:v>45299</c:v>
                </c:pt>
                <c:pt idx="105" c:formatCode="dd\-mmm\-yy">
                  <c:v>45300</c:v>
                </c:pt>
                <c:pt idx="106" c:formatCode="dd\-mmm\-yy">
                  <c:v>45301</c:v>
                </c:pt>
                <c:pt idx="107" c:formatCode="dd\-mmm\-yy">
                  <c:v>45302</c:v>
                </c:pt>
                <c:pt idx="108" c:formatCode="dd\-mmm\-yy">
                  <c:v>45303</c:v>
                </c:pt>
                <c:pt idx="109" c:formatCode="dd\-mmm\-yy">
                  <c:v>45305</c:v>
                </c:pt>
                <c:pt idx="110" c:formatCode="dd\-mmm\-yy">
                  <c:v>45306</c:v>
                </c:pt>
                <c:pt idx="111" c:formatCode="dd\-mmm\-yy">
                  <c:v>45307</c:v>
                </c:pt>
                <c:pt idx="112" c:formatCode="dd\-mmm\-yy">
                  <c:v>45308</c:v>
                </c:pt>
                <c:pt idx="113" c:formatCode="dd\-mmm\-yy">
                  <c:v>45309</c:v>
                </c:pt>
                <c:pt idx="114" c:formatCode="dd\-mmm\-yy">
                  <c:v>45310</c:v>
                </c:pt>
                <c:pt idx="115" c:formatCode="dd\-mmm\-yy">
                  <c:v>45313</c:v>
                </c:pt>
                <c:pt idx="116" c:formatCode="dd\-mmm\-yy">
                  <c:v>45314</c:v>
                </c:pt>
                <c:pt idx="117" c:formatCode="dd\-mmm\-yy">
                  <c:v>45315</c:v>
                </c:pt>
                <c:pt idx="118" c:formatCode="dd\-mmm\-yy">
                  <c:v>45316</c:v>
                </c:pt>
                <c:pt idx="119" c:formatCode="dd\-mmm\-yy">
                  <c:v>45317</c:v>
                </c:pt>
                <c:pt idx="120" c:formatCode="dd\-mmm\-yy">
                  <c:v>45320</c:v>
                </c:pt>
                <c:pt idx="121" c:formatCode="dd\-mmm\-yy">
                  <c:v>45321</c:v>
                </c:pt>
                <c:pt idx="122" c:formatCode="dd\-mmm\-yy">
                  <c:v>45322</c:v>
                </c:pt>
                <c:pt idx="123" c:formatCode="dd\-mmm\-yy">
                  <c:v>45323</c:v>
                </c:pt>
                <c:pt idx="124" c:formatCode="dd\-mmm\-yy">
                  <c:v>45324</c:v>
                </c:pt>
                <c:pt idx="125" c:formatCode="dd\-mmm\-yy">
                  <c:v>45327</c:v>
                </c:pt>
                <c:pt idx="126" c:formatCode="dd\-mmm\-yy">
                  <c:v>45328</c:v>
                </c:pt>
                <c:pt idx="127" c:formatCode="dd\-mmm\-yy">
                  <c:v>45329</c:v>
                </c:pt>
                <c:pt idx="128" c:formatCode="dd\-mmm\-yy">
                  <c:v>45330</c:v>
                </c:pt>
                <c:pt idx="129" c:formatCode="dd\-mmm\-yy">
                  <c:v>45331</c:v>
                </c:pt>
                <c:pt idx="130" c:formatCode="dd\-mmm\-yy">
                  <c:v>45334</c:v>
                </c:pt>
                <c:pt idx="131" c:formatCode="dd\-mmm\-yy">
                  <c:v>45335</c:v>
                </c:pt>
                <c:pt idx="132" c:formatCode="dd\-mmm\-yy">
                  <c:v>45336</c:v>
                </c:pt>
                <c:pt idx="133" c:formatCode="dd\-mmm\-yy">
                  <c:v>45337</c:v>
                </c:pt>
                <c:pt idx="134" c:formatCode="dd\-mmm\-yy">
                  <c:v>45338</c:v>
                </c:pt>
                <c:pt idx="135" c:formatCode="dd\-mmm\-yy">
                  <c:v>45340</c:v>
                </c:pt>
                <c:pt idx="136" c:formatCode="dd\-mmm\-yy">
                  <c:v>45341</c:v>
                </c:pt>
                <c:pt idx="137" c:formatCode="dd\-mmm\-yy">
                  <c:v>45342</c:v>
                </c:pt>
                <c:pt idx="138" c:formatCode="dd\-mmm\-yy">
                  <c:v>45343</c:v>
                </c:pt>
                <c:pt idx="139" c:formatCode="dd\-mmm\-yy">
                  <c:v>45344</c:v>
                </c:pt>
                <c:pt idx="140" c:formatCode="dd\-mmm\-yy">
                  <c:v>45345</c:v>
                </c:pt>
                <c:pt idx="141" c:formatCode="dd\-mmm\-yy">
                  <c:v>45348</c:v>
                </c:pt>
                <c:pt idx="142" c:formatCode="dd\-mmm\-yy">
                  <c:v>45349</c:v>
                </c:pt>
                <c:pt idx="143" c:formatCode="dd\-mmm\-yy">
                  <c:v>45350</c:v>
                </c:pt>
                <c:pt idx="144" c:formatCode="dd\-mmm\-yy">
                  <c:v>45351</c:v>
                </c:pt>
                <c:pt idx="145" c:formatCode="dd\-mmm\-yy">
                  <c:v>45352</c:v>
                </c:pt>
                <c:pt idx="146" c:formatCode="dd\-mmm\-yy">
                  <c:v>45355</c:v>
                </c:pt>
                <c:pt idx="147" c:formatCode="dd\-mmm\-yy">
                  <c:v>45356</c:v>
                </c:pt>
                <c:pt idx="148" c:formatCode="dd\-mmm\-yy">
                  <c:v>45357</c:v>
                </c:pt>
                <c:pt idx="149" c:formatCode="dd\-mmm\-yy">
                  <c:v>45358</c:v>
                </c:pt>
                <c:pt idx="150" c:formatCode="dd\-mmm\-yy">
                  <c:v>45359</c:v>
                </c:pt>
                <c:pt idx="151" c:formatCode="dd\-mmm\-yy">
                  <c:v>45362</c:v>
                </c:pt>
                <c:pt idx="152" c:formatCode="dd\-mmm\-yy">
                  <c:v>45363</c:v>
                </c:pt>
                <c:pt idx="153" c:formatCode="dd\-mmm\-yy">
                  <c:v>45364</c:v>
                </c:pt>
                <c:pt idx="154" c:formatCode="dd\-mmm\-yy">
                  <c:v>45365</c:v>
                </c:pt>
                <c:pt idx="155" c:formatCode="dd\-mmm\-yy">
                  <c:v>45366</c:v>
                </c:pt>
                <c:pt idx="156" c:formatCode="dd\-mmm\-yy">
                  <c:v>45369</c:v>
                </c:pt>
                <c:pt idx="157" c:formatCode="dd\-mmm\-yy">
                  <c:v>45370</c:v>
                </c:pt>
                <c:pt idx="158" c:formatCode="dd\-mmm\-yy">
                  <c:v>45371</c:v>
                </c:pt>
                <c:pt idx="159" c:formatCode="dd\-mmm\-yy">
                  <c:v>45372</c:v>
                </c:pt>
                <c:pt idx="160" c:formatCode="dd\-mmm\-yy">
                  <c:v>45373</c:v>
                </c:pt>
                <c:pt idx="161" c:formatCode="dd\-mmm\-yy">
                  <c:v>45376</c:v>
                </c:pt>
                <c:pt idx="162" c:formatCode="dd\-mmm\-yy">
                  <c:v>45377</c:v>
                </c:pt>
                <c:pt idx="163" c:formatCode="dd\-mmm\-yy">
                  <c:v>45378</c:v>
                </c:pt>
                <c:pt idx="164" c:formatCode="dd\-mmm\-yy">
                  <c:v>45379</c:v>
                </c:pt>
                <c:pt idx="165" c:formatCode="dd\-mmm\-yy">
                  <c:v>45380</c:v>
                </c:pt>
                <c:pt idx="166" c:formatCode="dd\-mmm\-yy">
                  <c:v>45383</c:v>
                </c:pt>
                <c:pt idx="167" c:formatCode="dd\-mmm\-yy">
                  <c:v>45384</c:v>
                </c:pt>
                <c:pt idx="168" c:formatCode="dd\-mmm\-yy">
                  <c:v>45385</c:v>
                </c:pt>
                <c:pt idx="169" c:formatCode="dd\-mmm\-yy">
                  <c:v>45386</c:v>
                </c:pt>
                <c:pt idx="170" c:formatCode="dd\-mmm\-yy">
                  <c:v>45387</c:v>
                </c:pt>
                <c:pt idx="171" c:formatCode="dd\-mmm\-yy">
                  <c:v>45390</c:v>
                </c:pt>
                <c:pt idx="172" c:formatCode="dd\-mmm\-yy">
                  <c:v>45391</c:v>
                </c:pt>
                <c:pt idx="173" c:formatCode="dd\-mmm\-yy">
                  <c:v>45392</c:v>
                </c:pt>
                <c:pt idx="174" c:formatCode="dd\-mmm\-yy">
                  <c:v>45393</c:v>
                </c:pt>
                <c:pt idx="175" c:formatCode="dd\-mmm\-yy">
                  <c:v>45394</c:v>
                </c:pt>
                <c:pt idx="176" c:formatCode="dd\-mmm\-yy">
                  <c:v>45397</c:v>
                </c:pt>
                <c:pt idx="177" c:formatCode="dd\-mmm\-yy">
                  <c:v>45398</c:v>
                </c:pt>
                <c:pt idx="178" c:formatCode="dd\-mmm\-yy">
                  <c:v>45399</c:v>
                </c:pt>
                <c:pt idx="179" c:formatCode="dd\-mmm\-yy">
                  <c:v>45400</c:v>
                </c:pt>
                <c:pt idx="180" c:formatCode="dd\-mmm\-yy">
                  <c:v>45401</c:v>
                </c:pt>
                <c:pt idx="181" c:formatCode="dd\-mmm\-yy">
                  <c:v>45404</c:v>
                </c:pt>
                <c:pt idx="182" c:formatCode="dd\-mmm\-yy">
                  <c:v>45405</c:v>
                </c:pt>
                <c:pt idx="183" c:formatCode="dd\-mmm\-yy">
                  <c:v>45406</c:v>
                </c:pt>
                <c:pt idx="184" c:formatCode="dd\-mmm\-yy">
                  <c:v>45407</c:v>
                </c:pt>
                <c:pt idx="185" c:formatCode="dd\-mmm\-yy">
                  <c:v>45408</c:v>
                </c:pt>
                <c:pt idx="186" c:formatCode="dd\-mmm\-yy">
                  <c:v>45410</c:v>
                </c:pt>
                <c:pt idx="187" c:formatCode="dd\-mmm\-yy">
                  <c:v>45411</c:v>
                </c:pt>
                <c:pt idx="188" c:formatCode="dd\-mmm\-yy">
                  <c:v>45412</c:v>
                </c:pt>
                <c:pt idx="189" c:formatCode="dd\-mmm\-yy">
                  <c:v>45413</c:v>
                </c:pt>
                <c:pt idx="190" c:formatCode="dd\-mmm\-yy">
                  <c:v>45414</c:v>
                </c:pt>
                <c:pt idx="191" c:formatCode="dd\-mmm\-yy">
                  <c:v>45415</c:v>
                </c:pt>
                <c:pt idx="192" c:formatCode="dd\-mmm\-yy">
                  <c:v>45418</c:v>
                </c:pt>
                <c:pt idx="193" c:formatCode="dd\-mmm\-yy">
                  <c:v>45419</c:v>
                </c:pt>
                <c:pt idx="194" c:formatCode="dd\-mmm\-yy">
                  <c:v>45420</c:v>
                </c:pt>
                <c:pt idx="195" c:formatCode="dd\-mmm\-yy">
                  <c:v>45421</c:v>
                </c:pt>
                <c:pt idx="196" c:formatCode="dd\-mmm\-yy">
                  <c:v>45422</c:v>
                </c:pt>
                <c:pt idx="197" c:formatCode="dd\-mmm\-yy">
                  <c:v>45425</c:v>
                </c:pt>
                <c:pt idx="198" c:formatCode="dd\-mmm\-yy">
                  <c:v>45426</c:v>
                </c:pt>
                <c:pt idx="199" c:formatCode="dd\-mmm\-yy">
                  <c:v>45427</c:v>
                </c:pt>
                <c:pt idx="200" c:formatCode="dd\-mmm\-yy">
                  <c:v>45428</c:v>
                </c:pt>
                <c:pt idx="201" c:formatCode="dd\-mmm\-yy">
                  <c:v>45429</c:v>
                </c:pt>
                <c:pt idx="202" c:formatCode="dd\-mmm\-yy">
                  <c:v>45432</c:v>
                </c:pt>
                <c:pt idx="203" c:formatCode="dd\-mmm\-yy">
                  <c:v>45433</c:v>
                </c:pt>
                <c:pt idx="204" c:formatCode="dd\-mmm\-yy">
                  <c:v>45434</c:v>
                </c:pt>
                <c:pt idx="205" c:formatCode="dd\-mmm\-yy">
                  <c:v>45435</c:v>
                </c:pt>
                <c:pt idx="206" c:formatCode="dd\-mmm\-yy">
                  <c:v>45436</c:v>
                </c:pt>
                <c:pt idx="207" c:formatCode="dd\-mmm\-yy">
                  <c:v>45438</c:v>
                </c:pt>
                <c:pt idx="208" c:formatCode="dd\-mmm\-yy">
                  <c:v>45439</c:v>
                </c:pt>
                <c:pt idx="209" c:formatCode="dd\-mmm\-yy">
                  <c:v>45440</c:v>
                </c:pt>
                <c:pt idx="210" c:formatCode="dd\-mmm\-yy">
                  <c:v>45441</c:v>
                </c:pt>
                <c:pt idx="211" c:formatCode="dd\-mmm\-yy">
                  <c:v>45442</c:v>
                </c:pt>
                <c:pt idx="212" c:formatCode="dd\-mmm\-yy">
                  <c:v>45440</c:v>
                </c:pt>
                <c:pt idx="213" c:formatCode="dd\-mmm\-yy">
                  <c:v>45441</c:v>
                </c:pt>
                <c:pt idx="214" c:formatCode="dd\-mmm\-yy">
                  <c:v>45442</c:v>
                </c:pt>
                <c:pt idx="215" c:formatCode="dd\-mmm\-yy">
                  <c:v>45443</c:v>
                </c:pt>
                <c:pt idx="216" c:formatCode="dd\-mmm\-yy">
                  <c:v>45446</c:v>
                </c:pt>
                <c:pt idx="217" c:formatCode="dd\-mmm\-yy">
                  <c:v>45447</c:v>
                </c:pt>
                <c:pt idx="218" c:formatCode="dd\-mmm\-yy">
                  <c:v>45448</c:v>
                </c:pt>
                <c:pt idx="219" c:formatCode="dd\-mmm\-yy">
                  <c:v>45449</c:v>
                </c:pt>
                <c:pt idx="220" c:formatCode="dd\-mmm\-yy">
                  <c:v>45450</c:v>
                </c:pt>
                <c:pt idx="221" c:formatCode="dd\-mmm\-yy">
                  <c:v>45453</c:v>
                </c:pt>
                <c:pt idx="222" c:formatCode="dd\-mmm\-yy">
                  <c:v>45454</c:v>
                </c:pt>
                <c:pt idx="223" c:formatCode="dd\-mmm\-yy">
                  <c:v>45455</c:v>
                </c:pt>
                <c:pt idx="224" c:formatCode="dd\-mmm\-yy">
                  <c:v>45456</c:v>
                </c:pt>
                <c:pt idx="225" c:formatCode="dd\-mmm\-yy">
                  <c:v>45457</c:v>
                </c:pt>
                <c:pt idx="226" c:formatCode="dd\-mmm\-yy">
                  <c:v>45460</c:v>
                </c:pt>
                <c:pt idx="227" c:formatCode="dd\-mmm\-yy">
                  <c:v>45461</c:v>
                </c:pt>
                <c:pt idx="228" c:formatCode="dd\-mmm\-yy">
                  <c:v>45462</c:v>
                </c:pt>
                <c:pt idx="229" c:formatCode="dd\-mmm\-yy">
                  <c:v>45463</c:v>
                </c:pt>
                <c:pt idx="230" c:formatCode="dd\-mmm\-yy">
                  <c:v>45464</c:v>
                </c:pt>
                <c:pt idx="231" c:formatCode="dd\-mmm\-yy">
                  <c:v>45467</c:v>
                </c:pt>
                <c:pt idx="232" c:formatCode="dd\-mmm\-yy">
                  <c:v>45468</c:v>
                </c:pt>
                <c:pt idx="233" c:formatCode="dd\-mmm\-yy">
                  <c:v>45469</c:v>
                </c:pt>
                <c:pt idx="234" c:formatCode="dd\-mmm\-yy">
                  <c:v>45470</c:v>
                </c:pt>
                <c:pt idx="235" c:formatCode="dd\-mmm\-yy">
                  <c:v>45471</c:v>
                </c:pt>
                <c:pt idx="236" c:formatCode="dd\-mmm\-yy">
                  <c:v>45474</c:v>
                </c:pt>
                <c:pt idx="237" c:formatCode="dd\-mmm\-yy">
                  <c:v>45475</c:v>
                </c:pt>
                <c:pt idx="238" c:formatCode="dd\-mmm\-yy">
                  <c:v>45476</c:v>
                </c:pt>
                <c:pt idx="239" c:formatCode="dd\-mmm\-yy">
                  <c:v>45477</c:v>
                </c:pt>
                <c:pt idx="240" c:formatCode="dd\-mmm\-yy">
                  <c:v>45478</c:v>
                </c:pt>
                <c:pt idx="241" c:formatCode="dd\-mmm\-yy">
                  <c:v>45481</c:v>
                </c:pt>
                <c:pt idx="242" c:formatCode="dd\-mmm\-yy">
                  <c:v>45482</c:v>
                </c:pt>
                <c:pt idx="243" c:formatCode="dd\-mmm\-yy">
                  <c:v>45483</c:v>
                </c:pt>
                <c:pt idx="244" c:formatCode="dd\-mmm\-yy">
                  <c:v>45484</c:v>
                </c:pt>
                <c:pt idx="245" c:formatCode="dd\-mmm\-yy">
                  <c:v>45485</c:v>
                </c:pt>
                <c:pt idx="246" c:formatCode="dd\-mmm\-yy">
                  <c:v>45488</c:v>
                </c:pt>
                <c:pt idx="247" c:formatCode="dd\-mmm\-yy">
                  <c:v>45489</c:v>
                </c:pt>
                <c:pt idx="248" c:formatCode="dd\-mmm\-yy">
                  <c:v>45490</c:v>
                </c:pt>
                <c:pt idx="249" c:formatCode="dd\-mmm\-yy">
                  <c:v>45491</c:v>
                </c:pt>
                <c:pt idx="250" c:formatCode="dd\-mmm\-yy">
                  <c:v>45492</c:v>
                </c:pt>
                <c:pt idx="251" c:formatCode="dd\-mmm\-yy">
                  <c:v>45495</c:v>
                </c:pt>
                <c:pt idx="252" c:formatCode="dd\-mmm\-yy">
                  <c:v>45496</c:v>
                </c:pt>
                <c:pt idx="253" c:formatCode="dd\-mmm\-yy">
                  <c:v>45497</c:v>
                </c:pt>
                <c:pt idx="254" c:formatCode="dd\-mmm\-yy">
                  <c:v>45498</c:v>
                </c:pt>
                <c:pt idx="255" c:formatCode="dd\-mmm\-yy">
                  <c:v>45499</c:v>
                </c:pt>
                <c:pt idx="256" c:formatCode="dd\-mmm\-yy">
                  <c:v>45502</c:v>
                </c:pt>
                <c:pt idx="257" c:formatCode="dd\-mmm\-yy">
                  <c:v>45503</c:v>
                </c:pt>
                <c:pt idx="258" c:formatCode="dd\-mmm\-yy">
                  <c:v>45504</c:v>
                </c:pt>
                <c:pt idx="259" c:formatCode="dd\-mmm\-yy">
                  <c:v>45505</c:v>
                </c:pt>
                <c:pt idx="260" c:formatCode="dd\-mmm\-yy">
                  <c:v>45506</c:v>
                </c:pt>
                <c:pt idx="261" c:formatCode="dd\-mmm\-yy">
                  <c:v>45509</c:v>
                </c:pt>
                <c:pt idx="262" c:formatCode="dd\-mmm\-yy">
                  <c:v>45510</c:v>
                </c:pt>
                <c:pt idx="263" c:formatCode="dd\-mmm\-yy">
                  <c:v>45511</c:v>
                </c:pt>
                <c:pt idx="264" c:formatCode="dd\-mmm\-yy">
                  <c:v>45512</c:v>
                </c:pt>
                <c:pt idx="265" c:formatCode="dd\-mmm\-yy">
                  <c:v>45513</c:v>
                </c:pt>
                <c:pt idx="266" c:formatCode="dd\-mmm\-yy">
                  <c:v>45516</c:v>
                </c:pt>
                <c:pt idx="267" c:formatCode="dd\-mmm\-yy">
                  <c:v>45517</c:v>
                </c:pt>
                <c:pt idx="268" c:formatCode="dd\-mmm\-yy">
                  <c:v>45518</c:v>
                </c:pt>
                <c:pt idx="269" c:formatCode="dd\-mmm\-yy">
                  <c:v>45519</c:v>
                </c:pt>
                <c:pt idx="270" c:formatCode="dd\-mmm\-yy">
                  <c:v>45520</c:v>
                </c:pt>
                <c:pt idx="271" c:formatCode="dd\-mmm\-yy">
                  <c:v>45523</c:v>
                </c:pt>
                <c:pt idx="272" c:formatCode="dd\-mmm\-yy">
                  <c:v>45524</c:v>
                </c:pt>
                <c:pt idx="273" c:formatCode="dd\-mmm\-yy">
                  <c:v>45525</c:v>
                </c:pt>
                <c:pt idx="274" c:formatCode="dd\-mmm\-yy">
                  <c:v>45526</c:v>
                </c:pt>
                <c:pt idx="275" c:formatCode="dd\-mmm\-yy">
                  <c:v>45527</c:v>
                </c:pt>
                <c:pt idx="276" c:formatCode="dd\-mmm\-yy">
                  <c:v>45530</c:v>
                </c:pt>
                <c:pt idx="277" c:formatCode="dd\-mmm\-yy">
                  <c:v>45531</c:v>
                </c:pt>
                <c:pt idx="278" c:formatCode="dd\-mmm\-yy">
                  <c:v>45532</c:v>
                </c:pt>
                <c:pt idx="279" c:formatCode="dd\-mmm\-yy">
                  <c:v>45533</c:v>
                </c:pt>
                <c:pt idx="280" c:formatCode="dd\-mmm\-yy">
                  <c:v>45534</c:v>
                </c:pt>
                <c:pt idx="281" c:formatCode="dd\-mmm\-yy">
                  <c:v>45536</c:v>
                </c:pt>
                <c:pt idx="282" c:formatCode="dd\-mmm\-yy">
                  <c:v>45537</c:v>
                </c:pt>
                <c:pt idx="283" c:formatCode="dd\-mmm\-yy">
                  <c:v>45538</c:v>
                </c:pt>
                <c:pt idx="284" c:formatCode="dd\-mmm\-yy">
                  <c:v>45539</c:v>
                </c:pt>
                <c:pt idx="285" c:formatCode="dd\-mmm\-yy">
                  <c:v>45540</c:v>
                </c:pt>
                <c:pt idx="286" c:formatCode="dd\-mmm\-yy">
                  <c:v>45541</c:v>
                </c:pt>
                <c:pt idx="287" c:formatCode="dd\-mmm\-yy">
                  <c:v>45544</c:v>
                </c:pt>
                <c:pt idx="288" c:formatCode="dd\-mmm\-yy">
                  <c:v>45545</c:v>
                </c:pt>
                <c:pt idx="289" c:formatCode="dd\-mmm\-yy">
                  <c:v>45546</c:v>
                </c:pt>
                <c:pt idx="290" c:formatCode="dd\-mmm\-yy">
                  <c:v>45547</c:v>
                </c:pt>
                <c:pt idx="291" c:formatCode="dd\-mmm\-yy">
                  <c:v>45548</c:v>
                </c:pt>
                <c:pt idx="292" c:formatCode="dd\-mmm\-yy">
                  <c:v>45551</c:v>
                </c:pt>
                <c:pt idx="293" c:formatCode="dd\-mmm\-yy">
                  <c:v>45552</c:v>
                </c:pt>
                <c:pt idx="294" c:formatCode="dd\-mmm\-yy">
                  <c:v>45553</c:v>
                </c:pt>
                <c:pt idx="295" c:formatCode="dd\-mmm\-yy">
                  <c:v>45554</c:v>
                </c:pt>
                <c:pt idx="296" c:formatCode="dd\-mmm\-yy">
                  <c:v>45555</c:v>
                </c:pt>
                <c:pt idx="297" c:formatCode="dd\-mmm\-yy">
                  <c:v>45558</c:v>
                </c:pt>
                <c:pt idx="298" c:formatCode="dd\-mmm\-yy">
                  <c:v>45559</c:v>
                </c:pt>
                <c:pt idx="299" c:formatCode="dd\-mmm\-yy">
                  <c:v>45560</c:v>
                </c:pt>
                <c:pt idx="300" c:formatCode="dd\-mmm\-yy">
                  <c:v>45561</c:v>
                </c:pt>
                <c:pt idx="301" c:formatCode="dd\-mmm\-yy">
                  <c:v>45562</c:v>
                </c:pt>
                <c:pt idx="302" c:formatCode="dd\-mmm\-yy">
                  <c:v>45565</c:v>
                </c:pt>
                <c:pt idx="303" c:formatCode="dd\-mmm\-yy">
                  <c:v>45566</c:v>
                </c:pt>
                <c:pt idx="304" c:formatCode="dd\-mmm\-yy">
                  <c:v>45567</c:v>
                </c:pt>
                <c:pt idx="305" c:formatCode="dd\-mmm\-yy">
                  <c:v>45568</c:v>
                </c:pt>
                <c:pt idx="306" c:formatCode="dd\-mmm\-yy">
                  <c:v>45569</c:v>
                </c:pt>
                <c:pt idx="307" c:formatCode="dd\-mmm\-yy">
                  <c:v>45572</c:v>
                </c:pt>
                <c:pt idx="308" c:formatCode="dd\-mmm\-yy">
                  <c:v>45573</c:v>
                </c:pt>
                <c:pt idx="309" c:formatCode="dd\-mmm\-yy">
                  <c:v>45574</c:v>
                </c:pt>
                <c:pt idx="310" c:formatCode="dd\-mmm\-yy">
                  <c:v>45575</c:v>
                </c:pt>
                <c:pt idx="311" c:formatCode="dd\-mmm\-yy">
                  <c:v>45576</c:v>
                </c:pt>
                <c:pt idx="312" c:formatCode="dd\-mmm\-yy">
                  <c:v>45580</c:v>
                </c:pt>
                <c:pt idx="313" c:formatCode="dd\-mmm\-yy">
                  <c:v>45581</c:v>
                </c:pt>
                <c:pt idx="314" c:formatCode="dd\-mmm\-yy">
                  <c:v>45582</c:v>
                </c:pt>
                <c:pt idx="315" c:formatCode="dd\-mmm\-yy">
                  <c:v>45583</c:v>
                </c:pt>
                <c:pt idx="316" c:formatCode="dd\-mmm\-yy">
                  <c:v>45586</c:v>
                </c:pt>
                <c:pt idx="317" c:formatCode="dd\-mmm\-yy">
                  <c:v>45587</c:v>
                </c:pt>
                <c:pt idx="318" c:formatCode="dd\-mmm\-yy">
                  <c:v>45588</c:v>
                </c:pt>
                <c:pt idx="319" c:formatCode="dd\-mmm\-yy">
                  <c:v>45589</c:v>
                </c:pt>
                <c:pt idx="320" c:formatCode="dd\-mmm\-yy">
                  <c:v>45590</c:v>
                </c:pt>
                <c:pt idx="321" c:formatCode="dd\-mmm\-yy">
                  <c:v>45593</c:v>
                </c:pt>
                <c:pt idx="322" c:formatCode="dd\-mmm\-yy">
                  <c:v>45594</c:v>
                </c:pt>
                <c:pt idx="323" c:formatCode="dd\-mmm\-yy">
                  <c:v>45595</c:v>
                </c:pt>
                <c:pt idx="324" c:formatCode="dd\-mmm\-yy">
                  <c:v>45596</c:v>
                </c:pt>
                <c:pt idx="325" c:formatCode="dd\-mmm\-yy">
                  <c:v>45597</c:v>
                </c:pt>
                <c:pt idx="326" c:formatCode="dd\-mmm\-yy">
                  <c:v>45600</c:v>
                </c:pt>
                <c:pt idx="327" c:formatCode="dd\-mmm\-yy">
                  <c:v>45601</c:v>
                </c:pt>
                <c:pt idx="328" c:formatCode="dd\-mmm\-yy">
                  <c:v>45602</c:v>
                </c:pt>
                <c:pt idx="329" c:formatCode="dd\-mmm\-yy">
                  <c:v>45603</c:v>
                </c:pt>
                <c:pt idx="330" c:formatCode="dd\-mmm\-yy">
                  <c:v>45604</c:v>
                </c:pt>
                <c:pt idx="331" c:formatCode="dd\-mmm\-yy">
                  <c:v>45608</c:v>
                </c:pt>
                <c:pt idx="332" c:formatCode="dd\-mmm\-yy">
                  <c:v>45609</c:v>
                </c:pt>
                <c:pt idx="333" c:formatCode="dd\-mmm\-yy">
                  <c:v>45610</c:v>
                </c:pt>
                <c:pt idx="334" c:formatCode="dd\-mmm\-yy">
                  <c:v>45611</c:v>
                </c:pt>
                <c:pt idx="335" c:formatCode="dd\-mmm\-yy">
                  <c:v>45614</c:v>
                </c:pt>
                <c:pt idx="336" c:formatCode="dd\-mmm\-yy">
                  <c:v>45615</c:v>
                </c:pt>
                <c:pt idx="337" c:formatCode="dd\-mmm\-yy">
                  <c:v>45616</c:v>
                </c:pt>
                <c:pt idx="338" c:formatCode="dd\-mmm\-yy">
                  <c:v>45617</c:v>
                </c:pt>
                <c:pt idx="339" c:formatCode="dd\-mmm\-yy">
                  <c:v>45618</c:v>
                </c:pt>
                <c:pt idx="340" c:formatCode="dd\-mmm\-yy">
                  <c:v>45621</c:v>
                </c:pt>
                <c:pt idx="341" c:formatCode="dd\-mmm\-yy">
                  <c:v>45622</c:v>
                </c:pt>
                <c:pt idx="342" c:formatCode="dd\-mmm\-yy">
                  <c:v>45623</c:v>
                </c:pt>
                <c:pt idx="343" c:formatCode="dd\-mmm\-yy">
                  <c:v>45625</c:v>
                </c:pt>
                <c:pt idx="344" c:formatCode="dd\-mmm\-yy">
                  <c:v>45628</c:v>
                </c:pt>
                <c:pt idx="345" c:formatCode="dd\-mmm\-yy">
                  <c:v>45629</c:v>
                </c:pt>
                <c:pt idx="346" c:formatCode="dd\-mmm\-yy">
                  <c:v>45630</c:v>
                </c:pt>
                <c:pt idx="347" c:formatCode="dd\-mmm\-yy">
                  <c:v>45631</c:v>
                </c:pt>
                <c:pt idx="348" c:formatCode="dd\-mmm\-yy">
                  <c:v>45632</c:v>
                </c:pt>
                <c:pt idx="349" c:formatCode="dd\-mmm\-yy">
                  <c:v>45635</c:v>
                </c:pt>
                <c:pt idx="350" c:formatCode="dd\-mmm\-yy">
                  <c:v>45636</c:v>
                </c:pt>
                <c:pt idx="351" c:formatCode="dd\-mmm\-yy">
                  <c:v>45637</c:v>
                </c:pt>
                <c:pt idx="352" c:formatCode="dd\-mmm\-yy">
                  <c:v>45638</c:v>
                </c:pt>
                <c:pt idx="353" c:formatCode="dd\-mmm\-yy">
                  <c:v>45639</c:v>
                </c:pt>
                <c:pt idx="354" c:formatCode="dd\-mmm\-yy">
                  <c:v>45642</c:v>
                </c:pt>
                <c:pt idx="355" c:formatCode="dd\-mmm\-yy">
                  <c:v>45643</c:v>
                </c:pt>
                <c:pt idx="356" c:formatCode="dd\-mmm\-yy">
                  <c:v>45644</c:v>
                </c:pt>
                <c:pt idx="357" c:formatCode="dd\-mmm\-yy">
                  <c:v>45645</c:v>
                </c:pt>
                <c:pt idx="358" c:formatCode="dd\-mmm\-yy">
                  <c:v>45646</c:v>
                </c:pt>
                <c:pt idx="359" c:formatCode="dd\-mmm\-yy">
                  <c:v>45649</c:v>
                </c:pt>
                <c:pt idx="360" c:formatCode="dd\-mmm\-yy">
                  <c:v>45650</c:v>
                </c:pt>
                <c:pt idx="361" c:formatCode="dd\-mmm\-yy">
                  <c:v>45652</c:v>
                </c:pt>
                <c:pt idx="362" c:formatCode="dd\-mmm\-yy">
                  <c:v>45653</c:v>
                </c:pt>
                <c:pt idx="363" c:formatCode="dd\-mmm\-yy">
                  <c:v>45656</c:v>
                </c:pt>
                <c:pt idx="364" c:formatCode="dd\-mmm\-yy">
                  <c:v>45657</c:v>
                </c:pt>
                <c:pt idx="365" c:formatCode="dd\-mmm\-yy">
                  <c:v>45659</c:v>
                </c:pt>
                <c:pt idx="366" c:formatCode="dd\-mmm\-yy">
                  <c:v>45660</c:v>
                </c:pt>
                <c:pt idx="367" c:formatCode="dd\-mmm\-yy">
                  <c:v>45663</c:v>
                </c:pt>
                <c:pt idx="368" c:formatCode="dd\-mmm\-yy">
                  <c:v>45664</c:v>
                </c:pt>
                <c:pt idx="369" c:formatCode="dd\-mmm\-yy">
                  <c:v>45665</c:v>
                </c:pt>
                <c:pt idx="370" c:formatCode="dd\-mmm\-yy">
                  <c:v>45666</c:v>
                </c:pt>
                <c:pt idx="371" c:formatCode="dd\-mmm\-yy">
                  <c:v>45667</c:v>
                </c:pt>
                <c:pt idx="372" c:formatCode="dd\-mmm\-yy">
                  <c:v>45670</c:v>
                </c:pt>
                <c:pt idx="373" c:formatCode="dd\-mmm\-yy">
                  <c:v>45671</c:v>
                </c:pt>
                <c:pt idx="374" c:formatCode="dd\-mmm\-yy">
                  <c:v>45672</c:v>
                </c:pt>
                <c:pt idx="375" c:formatCode="dd\-mmm\-yy">
                  <c:v>45673</c:v>
                </c:pt>
                <c:pt idx="376" c:formatCode="dd\-mmm\-yy">
                  <c:v>45674</c:v>
                </c:pt>
                <c:pt idx="377" c:formatCode="dd\-mmm\-yy">
                  <c:v>45678</c:v>
                </c:pt>
                <c:pt idx="378" c:formatCode="dd\-mmm\-yy">
                  <c:v>45679</c:v>
                </c:pt>
                <c:pt idx="379" c:formatCode="dd\-mmm\-yy">
                  <c:v>45680</c:v>
                </c:pt>
                <c:pt idx="380" c:formatCode="dd\-mmm\-yy">
                  <c:v>45681</c:v>
                </c:pt>
                <c:pt idx="381" c:formatCode="dd\-mmm\-yy">
                  <c:v>45684</c:v>
                </c:pt>
                <c:pt idx="382" c:formatCode="dd\-mmm\-yy">
                  <c:v>45685</c:v>
                </c:pt>
                <c:pt idx="383" c:formatCode="dd\-mmm\-yy">
                  <c:v>45686</c:v>
                </c:pt>
                <c:pt idx="384" c:formatCode="dd\-mmm\-yy">
                  <c:v>45687</c:v>
                </c:pt>
                <c:pt idx="385" c:formatCode="dd\-mmm\-yy">
                  <c:v>45688</c:v>
                </c:pt>
                <c:pt idx="386" c:formatCode="dd\-mmm\-yy">
                  <c:v>45691</c:v>
                </c:pt>
                <c:pt idx="387" c:formatCode="dd\-mmm\-yy">
                  <c:v>45692</c:v>
                </c:pt>
                <c:pt idx="388" c:formatCode="dd\-mmm\-yy">
                  <c:v>45693</c:v>
                </c:pt>
                <c:pt idx="389" c:formatCode="dd\-mmm\-yy">
                  <c:v>45694</c:v>
                </c:pt>
                <c:pt idx="390" c:formatCode="dd\-mmm\-yy">
                  <c:v>45695</c:v>
                </c:pt>
                <c:pt idx="391" c:formatCode="dd\-mmm\-yy">
                  <c:v>45698</c:v>
                </c:pt>
                <c:pt idx="392" c:formatCode="dd\-mmm\-yy">
                  <c:v>45699</c:v>
                </c:pt>
                <c:pt idx="393" c:formatCode="dd\-mmm\-yy">
                  <c:v>45700</c:v>
                </c:pt>
                <c:pt idx="394" c:formatCode="dd\-mmm\-yy">
                  <c:v>45701</c:v>
                </c:pt>
                <c:pt idx="395" c:formatCode="dd\-mmm\-yy">
                  <c:v>45702</c:v>
                </c:pt>
                <c:pt idx="396" c:formatCode="dd\-mmm\-yy">
                  <c:v>45706</c:v>
                </c:pt>
                <c:pt idx="397" c:formatCode="dd\-mmm\-yy">
                  <c:v>45707</c:v>
                </c:pt>
                <c:pt idx="398" c:formatCode="dd\-mmm\-yy">
                  <c:v>45708</c:v>
                </c:pt>
                <c:pt idx="399" c:formatCode="dd\-mmm\-yy">
                  <c:v>45709</c:v>
                </c:pt>
                <c:pt idx="400" c:formatCode="dd\-mmm\-yy">
                  <c:v>45712</c:v>
                </c:pt>
                <c:pt idx="401" c:formatCode="dd\-mmm\-yy">
                  <c:v>45713</c:v>
                </c:pt>
                <c:pt idx="402" c:formatCode="dd\-mmm\-yy">
                  <c:v>45714</c:v>
                </c:pt>
                <c:pt idx="403" c:formatCode="dd\-mmm\-yy">
                  <c:v>45715</c:v>
                </c:pt>
                <c:pt idx="404" c:formatCode="dd\-mmm\-yy">
                  <c:v>45716</c:v>
                </c:pt>
                <c:pt idx="405" c:formatCode="dd\-mmm\-yy">
                  <c:v>45719</c:v>
                </c:pt>
                <c:pt idx="406" c:formatCode="dd\-mmm\-yy">
                  <c:v>45720</c:v>
                </c:pt>
                <c:pt idx="407" c:formatCode="dd\-mmm\-yy">
                  <c:v>45721</c:v>
                </c:pt>
                <c:pt idx="408" c:formatCode="dd\-mmm\-yy">
                  <c:v>45722</c:v>
                </c:pt>
                <c:pt idx="409" c:formatCode="dd\-mmm\-yy">
                  <c:v>45723</c:v>
                </c:pt>
                <c:pt idx="410" c:formatCode="dd\-mmm\-yy">
                  <c:v>45726</c:v>
                </c:pt>
                <c:pt idx="411" c:formatCode="dd\-mmm\-yy">
                  <c:v>45727</c:v>
                </c:pt>
                <c:pt idx="412" c:formatCode="dd\-mmm\-yy">
                  <c:v>45728</c:v>
                </c:pt>
                <c:pt idx="413" c:formatCode="dd\-mmm\-yy">
                  <c:v>45729</c:v>
                </c:pt>
                <c:pt idx="414" c:formatCode="dd\-mmm\-yy">
                  <c:v>45730</c:v>
                </c:pt>
                <c:pt idx="415" c:formatCode="dd\-mmm\-yy">
                  <c:v>45733</c:v>
                </c:pt>
                <c:pt idx="416" c:formatCode="dd\-mmm\-yy">
                  <c:v>45734</c:v>
                </c:pt>
                <c:pt idx="417" c:formatCode="dd\-mmm\-yy">
                  <c:v>45735</c:v>
                </c:pt>
                <c:pt idx="418" c:formatCode="dd\-mmm\-yy">
                  <c:v>45736</c:v>
                </c:pt>
                <c:pt idx="419" c:formatCode="dd\-mmm\-yy">
                  <c:v>45737</c:v>
                </c:pt>
                <c:pt idx="420" c:formatCode="dd\-mmm\-yy">
                  <c:v>45740</c:v>
                </c:pt>
                <c:pt idx="421" c:formatCode="dd\-mmm\-yy">
                  <c:v>45741</c:v>
                </c:pt>
                <c:pt idx="422" c:formatCode="dd\-mmm\-yy">
                  <c:v>45742</c:v>
                </c:pt>
                <c:pt idx="423" c:formatCode="dd\-mmm\-yy">
                  <c:v>45743</c:v>
                </c:pt>
                <c:pt idx="424" c:formatCode="dd\-mmm\-yy">
                  <c:v>45744</c:v>
                </c:pt>
                <c:pt idx="425" c:formatCode="dd\-mmm\-yy">
                  <c:v>45747</c:v>
                </c:pt>
                <c:pt idx="426" c:formatCode="dd\-mmm\-yy">
                  <c:v>45748</c:v>
                </c:pt>
                <c:pt idx="427" c:formatCode="dd\-mmm\-yy">
                  <c:v>45749</c:v>
                </c:pt>
                <c:pt idx="428" c:formatCode="dd\-mmm\-yy">
                  <c:v>45750</c:v>
                </c:pt>
                <c:pt idx="429" c:formatCode="dd\-mmm\-yy">
                  <c:v>45751</c:v>
                </c:pt>
                <c:pt idx="430" c:formatCode="dd\-mmm\-yy">
                  <c:v>45754</c:v>
                </c:pt>
                <c:pt idx="431" c:formatCode="dd\-mmm\-yy">
                  <c:v>45755</c:v>
                </c:pt>
                <c:pt idx="432" c:formatCode="dd\-mmm\-yy">
                  <c:v>45756</c:v>
                </c:pt>
                <c:pt idx="433" c:formatCode="dd\-mmm\-yy">
                  <c:v>45757</c:v>
                </c:pt>
                <c:pt idx="434" c:formatCode="dd\-mmm\-yy">
                  <c:v>45758</c:v>
                </c:pt>
                <c:pt idx="435" c:formatCode="dd\-mmm\-yy">
                  <c:v>45761</c:v>
                </c:pt>
                <c:pt idx="436" c:formatCode="dd\-mmm\-yy">
                  <c:v>45762</c:v>
                </c:pt>
                <c:pt idx="437" c:formatCode="dd\-mmm\-yy">
                  <c:v>45763</c:v>
                </c:pt>
                <c:pt idx="438" c:formatCode="dd\-mmm\-yy">
                  <c:v>45764</c:v>
                </c:pt>
                <c:pt idx="439" c:formatCode="dd\-mmm\-yy">
                  <c:v>45768</c:v>
                </c:pt>
                <c:pt idx="440" c:formatCode="dd\-mmm\-yy">
                  <c:v>45769</c:v>
                </c:pt>
                <c:pt idx="441" c:formatCode="dd\-mmm\-yy">
                  <c:v>45770</c:v>
                </c:pt>
                <c:pt idx="442" c:formatCode="dd\-mmm\-yy">
                  <c:v>45771</c:v>
                </c:pt>
                <c:pt idx="443" c:formatCode="dd\-mmm\-yy">
                  <c:v>45772</c:v>
                </c:pt>
                <c:pt idx="444" c:formatCode="dd\-mmm\-yy">
                  <c:v>45775</c:v>
                </c:pt>
                <c:pt idx="445" c:formatCode="dd\-mmm\-yy">
                  <c:v>45776</c:v>
                </c:pt>
                <c:pt idx="446" c:formatCode="dd\-mmm\-yy">
                  <c:v>45777</c:v>
                </c:pt>
                <c:pt idx="447" c:formatCode="dd\-mmm\-yy">
                  <c:v>45778</c:v>
                </c:pt>
                <c:pt idx="448" c:formatCode="dd\-mmm\-yy">
                  <c:v>45779</c:v>
                </c:pt>
                <c:pt idx="449" c:formatCode="dd\-mmm\-yy">
                  <c:v>45782</c:v>
                </c:pt>
                <c:pt idx="450" c:formatCode="dd\-mmm\-yy">
                  <c:v>45783</c:v>
                </c:pt>
                <c:pt idx="451" c:formatCode="dd\-mmm\-yy">
                  <c:v>45784</c:v>
                </c:pt>
                <c:pt idx="452" c:formatCode="dd\-mmm\-yy">
                  <c:v>45785</c:v>
                </c:pt>
                <c:pt idx="453" c:formatCode="dd\-mmm\-yy">
                  <c:v>45786</c:v>
                </c:pt>
                <c:pt idx="454" c:formatCode="dd\-mmm\-yy">
                  <c:v>45789</c:v>
                </c:pt>
                <c:pt idx="455" c:formatCode="dd\-mmm\-yy">
                  <c:v>45790</c:v>
                </c:pt>
                <c:pt idx="456" c:formatCode="dd\-mmm\-yy">
                  <c:v>45791</c:v>
                </c:pt>
                <c:pt idx="457" c:formatCode="dd\-mmm\-yy">
                  <c:v>45792</c:v>
                </c:pt>
                <c:pt idx="458" c:formatCode="d\-mmm\-yy">
                  <c:v>45793</c:v>
                </c:pt>
                <c:pt idx="459" c:formatCode="d\-mmm\-yy">
                  <c:v>45796</c:v>
                </c:pt>
                <c:pt idx="460" c:formatCode="d\-mmm\-yy">
                  <c:v>45797</c:v>
                </c:pt>
                <c:pt idx="461" c:formatCode="d\-mmm\-yy">
                  <c:v>45798</c:v>
                </c:pt>
                <c:pt idx="462" c:formatCode="d\-mmm\-yy">
                  <c:v>45799</c:v>
                </c:pt>
                <c:pt idx="463" c:formatCode="d\-mmm\-yy">
                  <c:v>45800</c:v>
                </c:pt>
                <c:pt idx="464" c:formatCode="d\-mmm\-yy">
                  <c:v>45802</c:v>
                </c:pt>
                <c:pt idx="465" c:formatCode="d\-mmm\-yy">
                  <c:v>45803</c:v>
                </c:pt>
                <c:pt idx="466" c:formatCode="d\-mmm\-yy">
                  <c:v>45804</c:v>
                </c:pt>
                <c:pt idx="467" c:formatCode="d\-mmm\-yy">
                  <c:v>45805</c:v>
                </c:pt>
                <c:pt idx="468" c:formatCode="d\-mmm\-yy">
                  <c:v>45806</c:v>
                </c:pt>
                <c:pt idx="469" c:formatCode="d\-mmm\-yy">
                  <c:v>45807</c:v>
                </c:pt>
                <c:pt idx="470" c:formatCode="d\-mmm\-yy">
                  <c:v>45810</c:v>
                </c:pt>
                <c:pt idx="471" c:formatCode="d\-mmm\-yy">
                  <c:v>45811</c:v>
                </c:pt>
                <c:pt idx="472" c:formatCode="d\-mmm\-yy">
                  <c:v>45812</c:v>
                </c:pt>
                <c:pt idx="473" c:formatCode="d\-mmm\-yy">
                  <c:v>45813</c:v>
                </c:pt>
                <c:pt idx="474" c:formatCode="d\-mmm\-yy">
                  <c:v>45814</c:v>
                </c:pt>
                <c:pt idx="475" c:formatCode="d\-mmm\-yy">
                  <c:v>45817</c:v>
                </c:pt>
                <c:pt idx="476" c:formatCode="d\-mmm\-yy">
                  <c:v>45818</c:v>
                </c:pt>
                <c:pt idx="477" c:formatCode="d\-mmm\-yy">
                  <c:v>45819</c:v>
                </c:pt>
                <c:pt idx="478" c:formatCode="d\-mmm\-yy">
                  <c:v>45820</c:v>
                </c:pt>
                <c:pt idx="479" c:formatCode="d\-mmm\-yy">
                  <c:v>45821</c:v>
                </c:pt>
                <c:pt idx="480" c:formatCode="d\-mmm\-yy">
                  <c:v>45823</c:v>
                </c:pt>
                <c:pt idx="481" c:formatCode="d\-mmm\-yy">
                  <c:v>45824</c:v>
                </c:pt>
                <c:pt idx="482" c:formatCode="d\-mmm\-yy">
                  <c:v>45825</c:v>
                </c:pt>
                <c:pt idx="483" c:formatCode="d\-mmm\-yy">
                  <c:v>45826</c:v>
                </c:pt>
                <c:pt idx="484" c:formatCode="d\-mmm\-yy">
                  <c:v>45827</c:v>
                </c:pt>
                <c:pt idx="485" c:formatCode="d\-mmm\-yy">
                  <c:v>45828</c:v>
                </c:pt>
                <c:pt idx="486" c:formatCode="d\-mmm\-yy">
                  <c:v>45831</c:v>
                </c:pt>
                <c:pt idx="487" c:formatCode="d\-mmm\-yy">
                  <c:v>45832</c:v>
                </c:pt>
                <c:pt idx="488" c:formatCode="d\-mmm\-yy">
                  <c:v>45833</c:v>
                </c:pt>
                <c:pt idx="489" c:formatCode="d\-mmm\-yy">
                  <c:v>45834</c:v>
                </c:pt>
                <c:pt idx="490" c:formatCode="d\-mmm\-yy">
                  <c:v>45835</c:v>
                </c:pt>
                <c:pt idx="491" c:formatCode="d\-mmm\-yy">
                  <c:v>45838</c:v>
                </c:pt>
                <c:pt idx="492" c:formatCode="d\-mmm\-yy">
                  <c:v>45839</c:v>
                </c:pt>
                <c:pt idx="493" c:formatCode="d\-mmm\-yy">
                  <c:v>45840</c:v>
                </c:pt>
                <c:pt idx="494" c:formatCode="d\-mmm\-yy">
                  <c:v>45841</c:v>
                </c:pt>
                <c:pt idx="495" c:formatCode="d\-mmm\-yy">
                  <c:v>45842</c:v>
                </c:pt>
                <c:pt idx="496" c:formatCode="d\-mmm\-yy">
                  <c:v>45845</c:v>
                </c:pt>
                <c:pt idx="497" c:formatCode="d\-mmm\-yy">
                  <c:v>45846</c:v>
                </c:pt>
                <c:pt idx="498" c:formatCode="d\-mmm\-yy">
                  <c:v>45847</c:v>
                </c:pt>
                <c:pt idx="499" c:formatCode="d\-mmm\-yy">
                  <c:v>45848</c:v>
                </c:pt>
                <c:pt idx="500" c:formatCode="d\-mmm\-yy">
                  <c:v>45849</c:v>
                </c:pt>
                <c:pt idx="501" c:formatCode="d\-mmm\-yy">
                  <c:v>45852</c:v>
                </c:pt>
                <c:pt idx="502" c:formatCode="d\-mmm\-yy">
                  <c:v>45853</c:v>
                </c:pt>
                <c:pt idx="503" c:formatCode="d\-mmm\-yy">
                  <c:v>45854</c:v>
                </c:pt>
                <c:pt idx="504" c:formatCode="d\-mmm\-yy">
                  <c:v>45855</c:v>
                </c:pt>
                <c:pt idx="505" c:formatCode="d\-mmm\-yy">
                  <c:v>45856</c:v>
                </c:pt>
                <c:pt idx="506" c:formatCode="d\-mmm\-yy">
                  <c:v>45858</c:v>
                </c:pt>
                <c:pt idx="507" c:formatCode="d\-mmm\-yy">
                  <c:v>45859</c:v>
                </c:pt>
                <c:pt idx="508" c:formatCode="d\-mmm\-yy">
                  <c:v>45860</c:v>
                </c:pt>
                <c:pt idx="509" c:formatCode="d\-mmm\-yy">
                  <c:v>45861</c:v>
                </c:pt>
                <c:pt idx="510" c:formatCode="d\-mmm\-yy">
                  <c:v>45862</c:v>
                </c:pt>
                <c:pt idx="511" c:formatCode="d\-mmm\-yy">
                  <c:v>45863</c:v>
                </c:pt>
                <c:pt idx="512" c:formatCode="d\-mmm\-yy">
                  <c:v>45866</c:v>
                </c:pt>
                <c:pt idx="513" c:formatCode="d\-mmm\-yy">
                  <c:v>45867</c:v>
                </c:pt>
                <c:pt idx="514" c:formatCode="d\-mmm\-yy">
                  <c:v>45868</c:v>
                </c:pt>
                <c:pt idx="515" c:formatCode="d\-mmm\-yy">
                  <c:v>45869</c:v>
                </c:pt>
                <c:pt idx="516" c:formatCode="d\-mmm\-yy">
                  <c:v>45870</c:v>
                </c:pt>
                <c:pt idx="517" c:formatCode="d\-mmm\-yy">
                  <c:v>45873</c:v>
                </c:pt>
                <c:pt idx="518" c:formatCode="d\-mmm\-yy">
                  <c:v>45874</c:v>
                </c:pt>
                <c:pt idx="519" c:formatCode="d\-mmm\-yy">
                  <c:v>45875</c:v>
                </c:pt>
                <c:pt idx="520" c:formatCode="d\-mmm\-yy">
                  <c:v>45876</c:v>
                </c:pt>
                <c:pt idx="521" c:formatCode="d\-mmm\-yy">
                  <c:v>45877</c:v>
                </c:pt>
                <c:pt idx="522" c:formatCode="d\-mmm\-yy">
                  <c:v>45880</c:v>
                </c:pt>
                <c:pt idx="523" c:formatCode="d\-mmm\-yy">
                  <c:v>45881</c:v>
                </c:pt>
                <c:pt idx="524" c:formatCode="d\-mmm\-yy">
                  <c:v>45882</c:v>
                </c:pt>
                <c:pt idx="525" c:formatCode="d\-mmm\-yy">
                  <c:v>45883</c:v>
                </c:pt>
                <c:pt idx="526" c:formatCode="d\-mmm\-yy">
                  <c:v>45884</c:v>
                </c:pt>
                <c:pt idx="527" c:formatCode="d\-mmm\-yy">
                  <c:v>45887</c:v>
                </c:pt>
                <c:pt idx="528" c:formatCode="d\-mmm\-yy">
                  <c:v>45888</c:v>
                </c:pt>
                <c:pt idx="529" c:formatCode="d\-mmm\-yy">
                  <c:v>45889</c:v>
                </c:pt>
                <c:pt idx="530" c:formatCode="d\-mmm\-yy">
                  <c:v>45890</c:v>
                </c:pt>
                <c:pt idx="531" c:formatCode="d\-mmm\-yy">
                  <c:v>45891</c:v>
                </c:pt>
                <c:pt idx="532" c:formatCode="d\-mmm\-yy">
                  <c:v>45894</c:v>
                </c:pt>
                <c:pt idx="533" c:formatCode="d\-mmm\-yy">
                  <c:v>45895</c:v>
                </c:pt>
                <c:pt idx="534" c:formatCode="d\-mmm\-yy">
                  <c:v>45896</c:v>
                </c:pt>
                <c:pt idx="535" c:formatCode="d\-mmm\-yy">
                  <c:v>45897</c:v>
                </c:pt>
                <c:pt idx="536" c:formatCode="d\-mmm\-yy">
                  <c:v>45898</c:v>
                </c:pt>
                <c:pt idx="537" c:formatCode="d\-mmm\-yy">
                  <c:v>45900</c:v>
                </c:pt>
                <c:pt idx="538" c:formatCode="d\-mmm\-yy">
                  <c:v>45901</c:v>
                </c:pt>
                <c:pt idx="539" c:formatCode="d\-mmm\-yy">
                  <c:v>45902</c:v>
                </c:pt>
                <c:pt idx="540" c:formatCode="d\-mmm\-yy">
                  <c:v>45903</c:v>
                </c:pt>
                <c:pt idx="541" c:formatCode="d\-mmm\-yy">
                  <c:v>45904</c:v>
                </c:pt>
                <c:pt idx="542" c:formatCode="d\-mmm\-yy">
                  <c:v>45905</c:v>
                </c:pt>
                <c:pt idx="543" c:formatCode="d\-mmm\-yy">
                  <c:v>45908</c:v>
                </c:pt>
                <c:pt idx="544" c:formatCode="d\-mmm\-yy">
                  <c:v>45909</c:v>
                </c:pt>
                <c:pt idx="545" c:formatCode="d\-mmm\-yy">
                  <c:v>45910</c:v>
                </c:pt>
                <c:pt idx="546" c:formatCode="d\-mmm\-yy">
                  <c:v>45911</c:v>
                </c:pt>
                <c:pt idx="547" c:formatCode="d\-mmm\-yy">
                  <c:v>45912</c:v>
                </c:pt>
                <c:pt idx="548" c:formatCode="d\-mmm\-yy">
                  <c:v>45915</c:v>
                </c:pt>
                <c:pt idx="549" c:formatCode="d\-mmm\-yy">
                  <c:v>45916</c:v>
                </c:pt>
                <c:pt idx="550" c:formatCode="d\-mmm\-yy">
                  <c:v>45917</c:v>
                </c:pt>
                <c:pt idx="551" c:formatCode="d\-mmm\-yy">
                  <c:v>45918</c:v>
                </c:pt>
                <c:pt idx="552" c:formatCode="d\-mmm\-yy">
                  <c:v>45919</c:v>
                </c:pt>
                <c:pt idx="553" c:formatCode="d\-mmm\-yy">
                  <c:v>45922</c:v>
                </c:pt>
                <c:pt idx="554" c:formatCode="d\-mmm\-yy">
                  <c:v>45923</c:v>
                </c:pt>
                <c:pt idx="555" c:formatCode="d\-mmm\-yy">
                  <c:v>45924</c:v>
                </c:pt>
                <c:pt idx="556" c:formatCode="d\-mmm\-yy">
                  <c:v>45925</c:v>
                </c:pt>
              </c:numCache>
            </c:numRef>
          </c:cat>
          <c:val>
            <c:numRef>
              <c:extLst>
                <c:ext xmlns:c15="http://schemas.microsoft.com/office/drawing/2012/chart" uri="{02D57815-91ED-43cb-92C2-25804820EDAC}">
                  <c15:fullRef>
                    <c15:sqref>美国十年期国债收益率历史数据!$B$87:$B$658</c15:sqref>
                  </c15:fullRef>
                </c:ext>
              </c:extLst>
              <c:f>'[3-美国十年期国债收益率历史数据.xlsx]美国十年期国债收益率历史数据'!$B$102:$B$658</c:f>
              <c:numCache>
                <c:formatCode>General</c:formatCode>
                <c:ptCount val="557"/>
                <c:pt idx="0">
                  <c:v>4.284</c:v>
                </c:pt>
                <c:pt idx="1">
                  <c:v>4.251</c:v>
                </c:pt>
                <c:pt idx="2">
                  <c:v>4.342</c:v>
                </c:pt>
                <c:pt idx="3">
                  <c:v>4.332</c:v>
                </c:pt>
                <c:pt idx="4">
                  <c:v>4.196</c:v>
                </c:pt>
                <c:pt idx="5">
                  <c:v>4.241</c:v>
                </c:pt>
                <c:pt idx="6">
                  <c:v>4.231</c:v>
                </c:pt>
                <c:pt idx="7">
                  <c:v>4.206</c:v>
                </c:pt>
                <c:pt idx="8">
                  <c:v>4.12</c:v>
                </c:pt>
                <c:pt idx="9">
                  <c:v>4.112</c:v>
                </c:pt>
                <c:pt idx="10">
                  <c:v>4.106</c:v>
                </c:pt>
                <c:pt idx="11">
                  <c:v>4.181</c:v>
                </c:pt>
                <c:pt idx="12">
                  <c:v>4.187</c:v>
                </c:pt>
                <c:pt idx="13">
                  <c:v>4.206</c:v>
                </c:pt>
                <c:pt idx="14">
                  <c:v>4.266</c:v>
                </c:pt>
                <c:pt idx="15">
                  <c:v>4.296</c:v>
                </c:pt>
                <c:pt idx="16">
                  <c:v>4.25</c:v>
                </c:pt>
                <c:pt idx="17">
                  <c:v>4.26</c:v>
                </c:pt>
                <c:pt idx="18">
                  <c:v>4.294</c:v>
                </c:pt>
                <c:pt idx="19">
                  <c:v>4.28</c:v>
                </c:pt>
                <c:pt idx="20">
                  <c:v>4.254</c:v>
                </c:pt>
                <c:pt idx="21">
                  <c:v>4.286</c:v>
                </c:pt>
                <c:pt idx="22">
                  <c:v>4.336</c:v>
                </c:pt>
                <c:pt idx="23">
                  <c:v>4.303</c:v>
                </c:pt>
                <c:pt idx="24">
                  <c:v>4.365</c:v>
                </c:pt>
                <c:pt idx="25">
                  <c:v>4.399</c:v>
                </c:pt>
                <c:pt idx="26">
                  <c:v>4.494</c:v>
                </c:pt>
                <c:pt idx="27">
                  <c:v>4.438</c:v>
                </c:pt>
                <c:pt idx="28">
                  <c:v>4.531</c:v>
                </c:pt>
                <c:pt idx="29">
                  <c:v>4.55</c:v>
                </c:pt>
                <c:pt idx="30">
                  <c:v>4.608</c:v>
                </c:pt>
                <c:pt idx="31">
                  <c:v>4.579</c:v>
                </c:pt>
                <c:pt idx="32">
                  <c:v>4.579</c:v>
                </c:pt>
                <c:pt idx="33">
                  <c:v>4.685</c:v>
                </c:pt>
                <c:pt idx="34">
                  <c:v>4.795</c:v>
                </c:pt>
                <c:pt idx="35">
                  <c:v>4.735</c:v>
                </c:pt>
                <c:pt idx="36">
                  <c:v>4.721</c:v>
                </c:pt>
                <c:pt idx="37">
                  <c:v>4.795</c:v>
                </c:pt>
                <c:pt idx="38">
                  <c:v>4.725</c:v>
                </c:pt>
                <c:pt idx="39">
                  <c:v>4.628</c:v>
                </c:pt>
                <c:pt idx="40">
                  <c:v>4.657</c:v>
                </c:pt>
                <c:pt idx="41">
                  <c:v>4.558</c:v>
                </c:pt>
                <c:pt idx="42">
                  <c:v>4.697</c:v>
                </c:pt>
                <c:pt idx="43">
                  <c:v>4.616</c:v>
                </c:pt>
                <c:pt idx="44">
                  <c:v>4.7</c:v>
                </c:pt>
                <c:pt idx="45">
                  <c:v>4.836</c:v>
                </c:pt>
                <c:pt idx="46">
                  <c:v>4.911</c:v>
                </c:pt>
                <c:pt idx="47">
                  <c:v>4.99</c:v>
                </c:pt>
                <c:pt idx="48">
                  <c:v>4.914</c:v>
                </c:pt>
                <c:pt idx="49">
                  <c:v>4.848</c:v>
                </c:pt>
                <c:pt idx="50">
                  <c:v>4.819</c:v>
                </c:pt>
                <c:pt idx="51">
                  <c:v>4.961</c:v>
                </c:pt>
                <c:pt idx="52">
                  <c:v>4.849</c:v>
                </c:pt>
                <c:pt idx="53">
                  <c:v>4.845</c:v>
                </c:pt>
                <c:pt idx="54">
                  <c:v>4.888</c:v>
                </c:pt>
                <c:pt idx="55">
                  <c:v>4.926</c:v>
                </c:pt>
                <c:pt idx="56">
                  <c:v>4.734</c:v>
                </c:pt>
                <c:pt idx="57">
                  <c:v>4.661</c:v>
                </c:pt>
                <c:pt idx="58">
                  <c:v>4.576</c:v>
                </c:pt>
                <c:pt idx="59">
                  <c:v>4.647</c:v>
                </c:pt>
                <c:pt idx="60">
                  <c:v>4.569</c:v>
                </c:pt>
                <c:pt idx="61">
                  <c:v>4.492</c:v>
                </c:pt>
                <c:pt idx="62">
                  <c:v>4.632</c:v>
                </c:pt>
                <c:pt idx="63">
                  <c:v>4.646</c:v>
                </c:pt>
                <c:pt idx="64">
                  <c:v>4.638</c:v>
                </c:pt>
                <c:pt idx="65">
                  <c:v>4.453</c:v>
                </c:pt>
                <c:pt idx="66">
                  <c:v>4.537</c:v>
                </c:pt>
                <c:pt idx="67">
                  <c:v>4.441</c:v>
                </c:pt>
                <c:pt idx="68">
                  <c:v>4.439</c:v>
                </c:pt>
                <c:pt idx="69">
                  <c:v>4.426</c:v>
                </c:pt>
                <c:pt idx="70">
                  <c:v>4.398</c:v>
                </c:pt>
                <c:pt idx="71">
                  <c:v>4.408</c:v>
                </c:pt>
                <c:pt idx="72">
                  <c:v>4.453</c:v>
                </c:pt>
                <c:pt idx="73">
                  <c:v>4.472</c:v>
                </c:pt>
                <c:pt idx="74">
                  <c:v>4.39</c:v>
                </c:pt>
                <c:pt idx="75">
                  <c:v>4.325</c:v>
                </c:pt>
                <c:pt idx="76">
                  <c:v>4.259</c:v>
                </c:pt>
                <c:pt idx="77">
                  <c:v>4.33</c:v>
                </c:pt>
                <c:pt idx="78">
                  <c:v>4.209</c:v>
                </c:pt>
                <c:pt idx="79">
                  <c:v>4.259</c:v>
                </c:pt>
                <c:pt idx="80">
                  <c:v>4.167</c:v>
                </c:pt>
                <c:pt idx="81">
                  <c:v>4.114</c:v>
                </c:pt>
                <c:pt idx="82">
                  <c:v>4.148</c:v>
                </c:pt>
                <c:pt idx="83">
                  <c:v>4.229</c:v>
                </c:pt>
                <c:pt idx="84">
                  <c:v>4.237</c:v>
                </c:pt>
                <c:pt idx="85">
                  <c:v>4.21</c:v>
                </c:pt>
                <c:pt idx="86">
                  <c:v>4.024</c:v>
                </c:pt>
                <c:pt idx="87">
                  <c:v>3.921</c:v>
                </c:pt>
                <c:pt idx="88">
                  <c:v>3.915</c:v>
                </c:pt>
                <c:pt idx="89">
                  <c:v>3.935</c:v>
                </c:pt>
                <c:pt idx="90">
                  <c:v>3.931</c:v>
                </c:pt>
                <c:pt idx="91">
                  <c:v>3.853</c:v>
                </c:pt>
                <c:pt idx="92">
                  <c:v>3.892</c:v>
                </c:pt>
                <c:pt idx="93">
                  <c:v>3.901</c:v>
                </c:pt>
                <c:pt idx="94">
                  <c:v>3.902</c:v>
                </c:pt>
                <c:pt idx="95">
                  <c:v>3.897</c:v>
                </c:pt>
                <c:pt idx="96">
                  <c:v>3.789</c:v>
                </c:pt>
                <c:pt idx="97">
                  <c:v>3.846</c:v>
                </c:pt>
                <c:pt idx="98">
                  <c:v>3.866</c:v>
                </c:pt>
                <c:pt idx="99">
                  <c:v>3.898</c:v>
                </c:pt>
                <c:pt idx="100">
                  <c:v>3.941</c:v>
                </c:pt>
                <c:pt idx="101">
                  <c:v>3.92</c:v>
                </c:pt>
                <c:pt idx="102">
                  <c:v>4.003</c:v>
                </c:pt>
                <c:pt idx="103">
                  <c:v>4.051</c:v>
                </c:pt>
                <c:pt idx="104">
                  <c:v>4.027</c:v>
                </c:pt>
                <c:pt idx="105">
                  <c:v>4.015</c:v>
                </c:pt>
                <c:pt idx="106">
                  <c:v>4.03</c:v>
                </c:pt>
                <c:pt idx="107">
                  <c:v>3.975</c:v>
                </c:pt>
                <c:pt idx="108">
                  <c:v>3.939</c:v>
                </c:pt>
                <c:pt idx="109">
                  <c:v>3.968</c:v>
                </c:pt>
                <c:pt idx="110">
                  <c:v>3.986</c:v>
                </c:pt>
                <c:pt idx="111">
                  <c:v>4.054</c:v>
                </c:pt>
                <c:pt idx="112">
                  <c:v>4.106</c:v>
                </c:pt>
                <c:pt idx="113">
                  <c:v>4.142</c:v>
                </c:pt>
                <c:pt idx="114">
                  <c:v>4.13</c:v>
                </c:pt>
                <c:pt idx="115">
                  <c:v>4.107</c:v>
                </c:pt>
                <c:pt idx="116">
                  <c:v>4.132</c:v>
                </c:pt>
                <c:pt idx="117">
                  <c:v>4.18</c:v>
                </c:pt>
                <c:pt idx="118">
                  <c:v>4.12</c:v>
                </c:pt>
                <c:pt idx="119">
                  <c:v>4.139</c:v>
                </c:pt>
                <c:pt idx="120">
                  <c:v>4.076</c:v>
                </c:pt>
                <c:pt idx="121">
                  <c:v>4.036</c:v>
                </c:pt>
                <c:pt idx="122">
                  <c:v>3.918</c:v>
                </c:pt>
                <c:pt idx="123">
                  <c:v>3.882</c:v>
                </c:pt>
                <c:pt idx="124">
                  <c:v>4.024</c:v>
                </c:pt>
                <c:pt idx="125">
                  <c:v>4.162</c:v>
                </c:pt>
                <c:pt idx="126">
                  <c:v>4.09</c:v>
                </c:pt>
                <c:pt idx="127">
                  <c:v>4.115</c:v>
                </c:pt>
                <c:pt idx="128">
                  <c:v>4.158</c:v>
                </c:pt>
                <c:pt idx="129">
                  <c:v>4.177</c:v>
                </c:pt>
                <c:pt idx="130">
                  <c:v>4.179</c:v>
                </c:pt>
                <c:pt idx="131">
                  <c:v>4.326</c:v>
                </c:pt>
                <c:pt idx="132">
                  <c:v>4.261</c:v>
                </c:pt>
                <c:pt idx="133">
                  <c:v>4.234</c:v>
                </c:pt>
                <c:pt idx="134">
                  <c:v>4.281</c:v>
                </c:pt>
                <c:pt idx="135">
                  <c:v>4.296</c:v>
                </c:pt>
                <c:pt idx="136">
                  <c:v>4.317</c:v>
                </c:pt>
                <c:pt idx="137">
                  <c:v>4.275</c:v>
                </c:pt>
                <c:pt idx="138">
                  <c:v>4.319</c:v>
                </c:pt>
                <c:pt idx="139">
                  <c:v>4.331</c:v>
                </c:pt>
                <c:pt idx="140">
                  <c:v>4.248</c:v>
                </c:pt>
                <c:pt idx="141">
                  <c:v>4.281</c:v>
                </c:pt>
                <c:pt idx="142">
                  <c:v>4.303</c:v>
                </c:pt>
                <c:pt idx="143">
                  <c:v>4.266</c:v>
                </c:pt>
                <c:pt idx="144">
                  <c:v>4.254</c:v>
                </c:pt>
                <c:pt idx="145">
                  <c:v>4.186</c:v>
                </c:pt>
                <c:pt idx="146">
                  <c:v>4.217</c:v>
                </c:pt>
                <c:pt idx="147">
                  <c:v>4.151</c:v>
                </c:pt>
                <c:pt idx="148">
                  <c:v>4.108</c:v>
                </c:pt>
                <c:pt idx="149">
                  <c:v>4.089</c:v>
                </c:pt>
                <c:pt idx="150">
                  <c:v>4.077</c:v>
                </c:pt>
                <c:pt idx="151">
                  <c:v>4.098</c:v>
                </c:pt>
                <c:pt idx="152">
                  <c:v>4.151</c:v>
                </c:pt>
                <c:pt idx="153">
                  <c:v>4.188</c:v>
                </c:pt>
                <c:pt idx="154">
                  <c:v>4.292</c:v>
                </c:pt>
                <c:pt idx="155">
                  <c:v>4.308</c:v>
                </c:pt>
                <c:pt idx="156">
                  <c:v>4.328</c:v>
                </c:pt>
                <c:pt idx="157">
                  <c:v>4.293</c:v>
                </c:pt>
                <c:pt idx="158">
                  <c:v>4.277</c:v>
                </c:pt>
                <c:pt idx="159">
                  <c:v>4.269</c:v>
                </c:pt>
                <c:pt idx="160">
                  <c:v>4.202</c:v>
                </c:pt>
                <c:pt idx="161">
                  <c:v>4.249</c:v>
                </c:pt>
                <c:pt idx="162">
                  <c:v>4.238</c:v>
                </c:pt>
                <c:pt idx="163">
                  <c:v>4.188</c:v>
                </c:pt>
                <c:pt idx="164">
                  <c:v>4.206</c:v>
                </c:pt>
                <c:pt idx="165">
                  <c:v>4.21</c:v>
                </c:pt>
                <c:pt idx="166">
                  <c:v>4.317</c:v>
                </c:pt>
                <c:pt idx="167">
                  <c:v>4.353</c:v>
                </c:pt>
                <c:pt idx="168">
                  <c:v>4.351</c:v>
                </c:pt>
                <c:pt idx="169">
                  <c:v>4.307</c:v>
                </c:pt>
                <c:pt idx="170">
                  <c:v>4.4</c:v>
                </c:pt>
                <c:pt idx="171">
                  <c:v>4.422</c:v>
                </c:pt>
                <c:pt idx="172">
                  <c:v>4.362</c:v>
                </c:pt>
                <c:pt idx="173">
                  <c:v>4.546</c:v>
                </c:pt>
                <c:pt idx="174">
                  <c:v>4.584</c:v>
                </c:pt>
                <c:pt idx="175">
                  <c:v>4.517</c:v>
                </c:pt>
                <c:pt idx="176">
                  <c:v>4.61</c:v>
                </c:pt>
                <c:pt idx="177">
                  <c:v>4.669</c:v>
                </c:pt>
                <c:pt idx="178">
                  <c:v>4.589</c:v>
                </c:pt>
                <c:pt idx="179">
                  <c:v>4.637</c:v>
                </c:pt>
                <c:pt idx="180">
                  <c:v>4.623</c:v>
                </c:pt>
                <c:pt idx="181">
                  <c:v>4.61</c:v>
                </c:pt>
                <c:pt idx="182">
                  <c:v>4.607</c:v>
                </c:pt>
                <c:pt idx="183">
                  <c:v>4.648</c:v>
                </c:pt>
                <c:pt idx="184">
                  <c:v>4.704</c:v>
                </c:pt>
                <c:pt idx="185">
                  <c:v>4.663</c:v>
                </c:pt>
                <c:pt idx="186">
                  <c:v>4.646</c:v>
                </c:pt>
                <c:pt idx="187">
                  <c:v>4.611</c:v>
                </c:pt>
                <c:pt idx="188">
                  <c:v>4.682</c:v>
                </c:pt>
                <c:pt idx="189">
                  <c:v>4.641</c:v>
                </c:pt>
                <c:pt idx="190">
                  <c:v>4.589</c:v>
                </c:pt>
                <c:pt idx="191">
                  <c:v>4.497</c:v>
                </c:pt>
                <c:pt idx="192">
                  <c:v>4.487</c:v>
                </c:pt>
                <c:pt idx="193">
                  <c:v>4.461</c:v>
                </c:pt>
                <c:pt idx="194">
                  <c:v>4.5</c:v>
                </c:pt>
                <c:pt idx="195">
                  <c:v>4.459</c:v>
                </c:pt>
                <c:pt idx="196">
                  <c:v>4.5</c:v>
                </c:pt>
                <c:pt idx="197">
                  <c:v>4.49</c:v>
                </c:pt>
                <c:pt idx="198">
                  <c:v>4.445</c:v>
                </c:pt>
                <c:pt idx="199">
                  <c:v>4.344</c:v>
                </c:pt>
                <c:pt idx="200">
                  <c:v>4.377</c:v>
                </c:pt>
                <c:pt idx="201">
                  <c:v>4.422</c:v>
                </c:pt>
                <c:pt idx="202">
                  <c:v>4.447</c:v>
                </c:pt>
                <c:pt idx="203">
                  <c:v>4.412</c:v>
                </c:pt>
                <c:pt idx="204">
                  <c:v>4.426</c:v>
                </c:pt>
                <c:pt idx="205">
                  <c:v>4.479</c:v>
                </c:pt>
                <c:pt idx="206">
                  <c:v>4.467</c:v>
                </c:pt>
                <c:pt idx="207">
                  <c:v>4.451</c:v>
                </c:pt>
                <c:pt idx="208">
                  <c:v>4.461</c:v>
                </c:pt>
                <c:pt idx="209">
                  <c:v>4.548</c:v>
                </c:pt>
                <c:pt idx="210">
                  <c:v>4.616</c:v>
                </c:pt>
                <c:pt idx="211">
                  <c:v>4.627</c:v>
                </c:pt>
                <c:pt idx="212">
                  <c:v>4.548</c:v>
                </c:pt>
                <c:pt idx="213">
                  <c:v>4.616</c:v>
                </c:pt>
                <c:pt idx="214">
                  <c:v>4.55</c:v>
                </c:pt>
                <c:pt idx="215">
                  <c:v>4.503</c:v>
                </c:pt>
                <c:pt idx="216">
                  <c:v>4.392</c:v>
                </c:pt>
                <c:pt idx="217">
                  <c:v>4.33</c:v>
                </c:pt>
                <c:pt idx="218">
                  <c:v>4.277</c:v>
                </c:pt>
                <c:pt idx="219">
                  <c:v>4.287</c:v>
                </c:pt>
                <c:pt idx="220">
                  <c:v>4.433</c:v>
                </c:pt>
                <c:pt idx="221">
                  <c:v>4.471</c:v>
                </c:pt>
                <c:pt idx="222">
                  <c:v>4.402</c:v>
                </c:pt>
                <c:pt idx="223">
                  <c:v>4.318</c:v>
                </c:pt>
                <c:pt idx="224">
                  <c:v>4.248</c:v>
                </c:pt>
                <c:pt idx="225">
                  <c:v>4.221</c:v>
                </c:pt>
                <c:pt idx="226">
                  <c:v>4.285</c:v>
                </c:pt>
                <c:pt idx="227">
                  <c:v>4.219</c:v>
                </c:pt>
                <c:pt idx="228">
                  <c:v>4.236</c:v>
                </c:pt>
                <c:pt idx="229">
                  <c:v>4.261</c:v>
                </c:pt>
                <c:pt idx="230">
                  <c:v>4.257</c:v>
                </c:pt>
                <c:pt idx="231">
                  <c:v>4.234</c:v>
                </c:pt>
                <c:pt idx="232">
                  <c:v>4.248</c:v>
                </c:pt>
                <c:pt idx="233">
                  <c:v>4.329</c:v>
                </c:pt>
                <c:pt idx="234">
                  <c:v>4.286</c:v>
                </c:pt>
                <c:pt idx="235">
                  <c:v>4.392</c:v>
                </c:pt>
                <c:pt idx="236">
                  <c:v>4.471</c:v>
                </c:pt>
                <c:pt idx="237">
                  <c:v>4.438</c:v>
                </c:pt>
                <c:pt idx="238">
                  <c:v>4.355</c:v>
                </c:pt>
                <c:pt idx="239">
                  <c:v>4.372</c:v>
                </c:pt>
                <c:pt idx="240">
                  <c:v>4.278</c:v>
                </c:pt>
                <c:pt idx="241">
                  <c:v>4.28</c:v>
                </c:pt>
                <c:pt idx="242">
                  <c:v>4.298</c:v>
                </c:pt>
                <c:pt idx="243">
                  <c:v>4.282</c:v>
                </c:pt>
                <c:pt idx="244">
                  <c:v>4.212</c:v>
                </c:pt>
                <c:pt idx="245">
                  <c:v>4.187</c:v>
                </c:pt>
                <c:pt idx="246">
                  <c:v>4.231</c:v>
                </c:pt>
                <c:pt idx="247">
                  <c:v>4.16</c:v>
                </c:pt>
                <c:pt idx="248">
                  <c:v>4.16</c:v>
                </c:pt>
                <c:pt idx="249">
                  <c:v>4.202</c:v>
                </c:pt>
                <c:pt idx="250">
                  <c:v>4.243</c:v>
                </c:pt>
                <c:pt idx="251">
                  <c:v>4.254</c:v>
                </c:pt>
                <c:pt idx="252">
                  <c:v>4.254</c:v>
                </c:pt>
                <c:pt idx="253">
                  <c:v>4.286</c:v>
                </c:pt>
                <c:pt idx="254">
                  <c:v>4.245</c:v>
                </c:pt>
                <c:pt idx="255">
                  <c:v>4.194</c:v>
                </c:pt>
                <c:pt idx="256">
                  <c:v>4.172</c:v>
                </c:pt>
                <c:pt idx="257">
                  <c:v>4.141</c:v>
                </c:pt>
                <c:pt idx="258">
                  <c:v>4.033</c:v>
                </c:pt>
                <c:pt idx="259">
                  <c:v>3.982</c:v>
                </c:pt>
                <c:pt idx="260">
                  <c:v>3.792</c:v>
                </c:pt>
                <c:pt idx="261">
                  <c:v>3.779</c:v>
                </c:pt>
                <c:pt idx="262">
                  <c:v>3.901</c:v>
                </c:pt>
                <c:pt idx="263">
                  <c:v>3.953</c:v>
                </c:pt>
                <c:pt idx="264">
                  <c:v>3.99</c:v>
                </c:pt>
                <c:pt idx="265">
                  <c:v>3.94</c:v>
                </c:pt>
                <c:pt idx="266">
                  <c:v>3.907</c:v>
                </c:pt>
                <c:pt idx="267">
                  <c:v>3.846</c:v>
                </c:pt>
                <c:pt idx="268">
                  <c:v>3.839</c:v>
                </c:pt>
                <c:pt idx="269">
                  <c:v>3.919</c:v>
                </c:pt>
                <c:pt idx="270">
                  <c:v>3.883</c:v>
                </c:pt>
                <c:pt idx="271">
                  <c:v>3.875</c:v>
                </c:pt>
                <c:pt idx="272">
                  <c:v>3.81</c:v>
                </c:pt>
                <c:pt idx="273">
                  <c:v>3.799</c:v>
                </c:pt>
                <c:pt idx="274">
                  <c:v>3.858</c:v>
                </c:pt>
                <c:pt idx="275">
                  <c:v>3.795</c:v>
                </c:pt>
                <c:pt idx="276">
                  <c:v>3.82</c:v>
                </c:pt>
                <c:pt idx="277">
                  <c:v>3.829</c:v>
                </c:pt>
                <c:pt idx="278">
                  <c:v>3.839</c:v>
                </c:pt>
                <c:pt idx="279">
                  <c:v>3.863</c:v>
                </c:pt>
                <c:pt idx="280">
                  <c:v>3.909</c:v>
                </c:pt>
                <c:pt idx="281">
                  <c:v>3.907</c:v>
                </c:pt>
                <c:pt idx="282">
                  <c:v>3.926</c:v>
                </c:pt>
                <c:pt idx="283">
                  <c:v>3.831</c:v>
                </c:pt>
                <c:pt idx="284">
                  <c:v>3.757</c:v>
                </c:pt>
                <c:pt idx="285">
                  <c:v>3.725</c:v>
                </c:pt>
                <c:pt idx="286">
                  <c:v>3.716</c:v>
                </c:pt>
                <c:pt idx="287">
                  <c:v>3.702</c:v>
                </c:pt>
                <c:pt idx="288">
                  <c:v>3.64</c:v>
                </c:pt>
                <c:pt idx="289">
                  <c:v>3.661</c:v>
                </c:pt>
                <c:pt idx="290">
                  <c:v>3.68</c:v>
                </c:pt>
                <c:pt idx="291">
                  <c:v>3.657</c:v>
                </c:pt>
                <c:pt idx="292">
                  <c:v>3.618</c:v>
                </c:pt>
                <c:pt idx="293">
                  <c:v>3.648</c:v>
                </c:pt>
                <c:pt idx="294">
                  <c:v>3.713</c:v>
                </c:pt>
                <c:pt idx="295">
                  <c:v>3.719</c:v>
                </c:pt>
                <c:pt idx="296">
                  <c:v>3.741</c:v>
                </c:pt>
                <c:pt idx="297">
                  <c:v>3.751</c:v>
                </c:pt>
                <c:pt idx="298">
                  <c:v>3.732</c:v>
                </c:pt>
                <c:pt idx="299">
                  <c:v>3.791</c:v>
                </c:pt>
                <c:pt idx="300">
                  <c:v>3.796</c:v>
                </c:pt>
                <c:pt idx="301">
                  <c:v>3.751</c:v>
                </c:pt>
                <c:pt idx="302">
                  <c:v>3.787</c:v>
                </c:pt>
                <c:pt idx="303">
                  <c:v>3.731</c:v>
                </c:pt>
                <c:pt idx="304">
                  <c:v>3.783</c:v>
                </c:pt>
                <c:pt idx="305">
                  <c:v>3.846</c:v>
                </c:pt>
                <c:pt idx="306">
                  <c:v>3.981</c:v>
                </c:pt>
                <c:pt idx="307">
                  <c:v>4.026</c:v>
                </c:pt>
                <c:pt idx="308">
                  <c:v>4.035</c:v>
                </c:pt>
                <c:pt idx="309">
                  <c:v>4.067</c:v>
                </c:pt>
                <c:pt idx="310">
                  <c:v>4.094</c:v>
                </c:pt>
                <c:pt idx="311">
                  <c:v>4.073</c:v>
                </c:pt>
                <c:pt idx="312">
                  <c:v>4.038</c:v>
                </c:pt>
                <c:pt idx="313">
                  <c:v>4.016</c:v>
                </c:pt>
                <c:pt idx="314">
                  <c:v>4.096</c:v>
                </c:pt>
                <c:pt idx="315">
                  <c:v>4.075</c:v>
                </c:pt>
                <c:pt idx="316">
                  <c:v>4.182</c:v>
                </c:pt>
                <c:pt idx="317">
                  <c:v>4.206</c:v>
                </c:pt>
                <c:pt idx="318">
                  <c:v>4.242</c:v>
                </c:pt>
                <c:pt idx="319">
                  <c:v>4.202</c:v>
                </c:pt>
                <c:pt idx="320">
                  <c:v>4.232</c:v>
                </c:pt>
                <c:pt idx="321">
                  <c:v>4.278</c:v>
                </c:pt>
                <c:pt idx="322">
                  <c:v>4.274</c:v>
                </c:pt>
                <c:pt idx="323">
                  <c:v>4.299</c:v>
                </c:pt>
                <c:pt idx="324">
                  <c:v>4.281</c:v>
                </c:pt>
                <c:pt idx="325">
                  <c:v>4.385</c:v>
                </c:pt>
                <c:pt idx="326">
                  <c:v>4.286</c:v>
                </c:pt>
                <c:pt idx="327">
                  <c:v>4.28</c:v>
                </c:pt>
                <c:pt idx="328">
                  <c:v>4.431</c:v>
                </c:pt>
                <c:pt idx="329">
                  <c:v>4.325</c:v>
                </c:pt>
                <c:pt idx="330">
                  <c:v>4.305</c:v>
                </c:pt>
                <c:pt idx="331">
                  <c:v>4.429</c:v>
                </c:pt>
                <c:pt idx="332">
                  <c:v>4.45</c:v>
                </c:pt>
                <c:pt idx="333">
                  <c:v>4.445</c:v>
                </c:pt>
                <c:pt idx="334">
                  <c:v>4.444</c:v>
                </c:pt>
                <c:pt idx="335">
                  <c:v>4.413</c:v>
                </c:pt>
                <c:pt idx="336">
                  <c:v>4.395</c:v>
                </c:pt>
                <c:pt idx="337">
                  <c:v>4.413</c:v>
                </c:pt>
                <c:pt idx="338">
                  <c:v>4.419</c:v>
                </c:pt>
                <c:pt idx="339">
                  <c:v>4.411</c:v>
                </c:pt>
                <c:pt idx="340">
                  <c:v>4.274</c:v>
                </c:pt>
                <c:pt idx="341">
                  <c:v>4.294</c:v>
                </c:pt>
                <c:pt idx="342">
                  <c:v>4.26</c:v>
                </c:pt>
                <c:pt idx="343">
                  <c:v>4.177</c:v>
                </c:pt>
                <c:pt idx="344">
                  <c:v>4.195</c:v>
                </c:pt>
                <c:pt idx="345">
                  <c:v>4.226</c:v>
                </c:pt>
                <c:pt idx="346">
                  <c:v>4.183</c:v>
                </c:pt>
                <c:pt idx="347">
                  <c:v>4.177</c:v>
                </c:pt>
                <c:pt idx="348">
                  <c:v>4.148</c:v>
                </c:pt>
                <c:pt idx="349">
                  <c:v>4.2</c:v>
                </c:pt>
                <c:pt idx="350">
                  <c:v>4.227</c:v>
                </c:pt>
                <c:pt idx="351">
                  <c:v>4.274</c:v>
                </c:pt>
                <c:pt idx="352">
                  <c:v>4.335</c:v>
                </c:pt>
                <c:pt idx="353">
                  <c:v>4.394</c:v>
                </c:pt>
                <c:pt idx="354">
                  <c:v>4.402</c:v>
                </c:pt>
                <c:pt idx="355">
                  <c:v>4.394</c:v>
                </c:pt>
                <c:pt idx="356">
                  <c:v>4.518</c:v>
                </c:pt>
                <c:pt idx="357">
                  <c:v>4.565</c:v>
                </c:pt>
                <c:pt idx="358">
                  <c:v>4.529</c:v>
                </c:pt>
                <c:pt idx="359">
                  <c:v>4.588</c:v>
                </c:pt>
                <c:pt idx="360">
                  <c:v>4.59</c:v>
                </c:pt>
                <c:pt idx="361">
                  <c:v>4.584</c:v>
                </c:pt>
                <c:pt idx="362">
                  <c:v>4.629</c:v>
                </c:pt>
                <c:pt idx="363">
                  <c:v>4.532</c:v>
                </c:pt>
                <c:pt idx="364">
                  <c:v>4.572</c:v>
                </c:pt>
                <c:pt idx="365">
                  <c:v>4.561</c:v>
                </c:pt>
                <c:pt idx="366">
                  <c:v>4.601</c:v>
                </c:pt>
                <c:pt idx="367">
                  <c:v>4.623</c:v>
                </c:pt>
                <c:pt idx="368">
                  <c:v>4.684</c:v>
                </c:pt>
                <c:pt idx="369">
                  <c:v>4.692</c:v>
                </c:pt>
                <c:pt idx="370">
                  <c:v>4.688</c:v>
                </c:pt>
                <c:pt idx="371">
                  <c:v>4.762</c:v>
                </c:pt>
                <c:pt idx="372">
                  <c:v>4.789</c:v>
                </c:pt>
                <c:pt idx="373">
                  <c:v>4.792</c:v>
                </c:pt>
                <c:pt idx="374">
                  <c:v>4.654</c:v>
                </c:pt>
                <c:pt idx="375">
                  <c:v>4.611</c:v>
                </c:pt>
                <c:pt idx="376">
                  <c:v>4.622</c:v>
                </c:pt>
                <c:pt idx="377">
                  <c:v>4.572</c:v>
                </c:pt>
                <c:pt idx="378">
                  <c:v>4.612</c:v>
                </c:pt>
                <c:pt idx="379">
                  <c:v>4.645</c:v>
                </c:pt>
                <c:pt idx="380">
                  <c:v>4.616</c:v>
                </c:pt>
                <c:pt idx="381">
                  <c:v>4.533</c:v>
                </c:pt>
                <c:pt idx="382">
                  <c:v>4.533</c:v>
                </c:pt>
                <c:pt idx="383">
                  <c:v>4.533</c:v>
                </c:pt>
                <c:pt idx="384">
                  <c:v>4.519</c:v>
                </c:pt>
                <c:pt idx="385">
                  <c:v>4.542</c:v>
                </c:pt>
                <c:pt idx="386">
                  <c:v>4.551</c:v>
                </c:pt>
                <c:pt idx="387">
                  <c:v>4.512</c:v>
                </c:pt>
                <c:pt idx="388">
                  <c:v>4.423</c:v>
                </c:pt>
                <c:pt idx="389">
                  <c:v>4.435</c:v>
                </c:pt>
                <c:pt idx="390">
                  <c:v>4.494</c:v>
                </c:pt>
                <c:pt idx="391">
                  <c:v>4.5</c:v>
                </c:pt>
                <c:pt idx="392">
                  <c:v>4.536</c:v>
                </c:pt>
                <c:pt idx="393">
                  <c:v>4.625</c:v>
                </c:pt>
                <c:pt idx="394">
                  <c:v>4.532</c:v>
                </c:pt>
                <c:pt idx="395">
                  <c:v>4.477</c:v>
                </c:pt>
                <c:pt idx="396">
                  <c:v>4.551</c:v>
                </c:pt>
                <c:pt idx="397">
                  <c:v>4.534</c:v>
                </c:pt>
                <c:pt idx="398">
                  <c:v>4.506</c:v>
                </c:pt>
                <c:pt idx="399">
                  <c:v>4.43</c:v>
                </c:pt>
                <c:pt idx="400">
                  <c:v>4.399</c:v>
                </c:pt>
                <c:pt idx="401">
                  <c:v>4.297</c:v>
                </c:pt>
                <c:pt idx="402">
                  <c:v>4.254</c:v>
                </c:pt>
                <c:pt idx="403">
                  <c:v>4.265</c:v>
                </c:pt>
                <c:pt idx="404">
                  <c:v>4.202</c:v>
                </c:pt>
                <c:pt idx="405">
                  <c:v>4.158</c:v>
                </c:pt>
                <c:pt idx="406">
                  <c:v>4.241</c:v>
                </c:pt>
                <c:pt idx="407">
                  <c:v>4.279</c:v>
                </c:pt>
                <c:pt idx="408">
                  <c:v>4.279</c:v>
                </c:pt>
                <c:pt idx="409">
                  <c:v>4.304</c:v>
                </c:pt>
                <c:pt idx="410">
                  <c:v>4.218</c:v>
                </c:pt>
                <c:pt idx="411">
                  <c:v>4.281</c:v>
                </c:pt>
                <c:pt idx="412">
                  <c:v>4.315</c:v>
                </c:pt>
                <c:pt idx="413">
                  <c:v>4.269</c:v>
                </c:pt>
                <c:pt idx="414">
                  <c:v>4.318</c:v>
                </c:pt>
                <c:pt idx="415">
                  <c:v>4.298</c:v>
                </c:pt>
                <c:pt idx="416">
                  <c:v>4.283</c:v>
                </c:pt>
                <c:pt idx="417">
                  <c:v>4.246</c:v>
                </c:pt>
                <c:pt idx="418">
                  <c:v>4.24</c:v>
                </c:pt>
                <c:pt idx="419">
                  <c:v>4.249</c:v>
                </c:pt>
                <c:pt idx="420">
                  <c:v>4.338</c:v>
                </c:pt>
                <c:pt idx="421">
                  <c:v>4.316</c:v>
                </c:pt>
                <c:pt idx="422">
                  <c:v>4.353</c:v>
                </c:pt>
                <c:pt idx="423">
                  <c:v>4.36</c:v>
                </c:pt>
                <c:pt idx="424">
                  <c:v>4.251</c:v>
                </c:pt>
                <c:pt idx="425">
                  <c:v>4.21</c:v>
                </c:pt>
                <c:pt idx="426">
                  <c:v>4.16</c:v>
                </c:pt>
                <c:pt idx="427">
                  <c:v>4.125</c:v>
                </c:pt>
                <c:pt idx="428">
                  <c:v>4.036</c:v>
                </c:pt>
                <c:pt idx="429">
                  <c:v>3.999</c:v>
                </c:pt>
                <c:pt idx="430">
                  <c:v>4.201</c:v>
                </c:pt>
                <c:pt idx="431">
                  <c:v>4.289</c:v>
                </c:pt>
                <c:pt idx="432">
                  <c:v>4.325</c:v>
                </c:pt>
                <c:pt idx="433">
                  <c:v>4.424</c:v>
                </c:pt>
                <c:pt idx="434">
                  <c:v>4.495</c:v>
                </c:pt>
                <c:pt idx="435">
                  <c:v>4.383</c:v>
                </c:pt>
                <c:pt idx="436">
                  <c:v>4.339</c:v>
                </c:pt>
                <c:pt idx="437">
                  <c:v>4.28</c:v>
                </c:pt>
                <c:pt idx="438">
                  <c:v>4.332</c:v>
                </c:pt>
                <c:pt idx="439">
                  <c:v>4.416</c:v>
                </c:pt>
                <c:pt idx="440">
                  <c:v>4.4</c:v>
                </c:pt>
                <c:pt idx="441">
                  <c:v>4.384</c:v>
                </c:pt>
                <c:pt idx="442">
                  <c:v>4.314</c:v>
                </c:pt>
                <c:pt idx="443">
                  <c:v>4.254</c:v>
                </c:pt>
                <c:pt idx="444">
                  <c:v>4.205</c:v>
                </c:pt>
                <c:pt idx="445">
                  <c:v>4.171</c:v>
                </c:pt>
                <c:pt idx="446">
                  <c:v>4.167</c:v>
                </c:pt>
                <c:pt idx="447">
                  <c:v>4.215</c:v>
                </c:pt>
                <c:pt idx="448">
                  <c:v>4.307</c:v>
                </c:pt>
                <c:pt idx="449">
                  <c:v>4.348</c:v>
                </c:pt>
                <c:pt idx="450">
                  <c:v>4.298</c:v>
                </c:pt>
                <c:pt idx="451">
                  <c:v>4.268</c:v>
                </c:pt>
                <c:pt idx="452">
                  <c:v>4.379</c:v>
                </c:pt>
                <c:pt idx="453">
                  <c:v>4.381</c:v>
                </c:pt>
                <c:pt idx="454">
                  <c:v>4.472</c:v>
                </c:pt>
                <c:pt idx="455">
                  <c:v>4.47</c:v>
                </c:pt>
                <c:pt idx="456">
                  <c:v>4.541</c:v>
                </c:pt>
                <c:pt idx="457">
                  <c:v>4.431</c:v>
                </c:pt>
                <c:pt idx="458">
                  <c:v>4.443</c:v>
                </c:pt>
                <c:pt idx="459">
                  <c:v>4.447</c:v>
                </c:pt>
                <c:pt idx="460">
                  <c:v>4.483</c:v>
                </c:pt>
                <c:pt idx="461">
                  <c:v>4.595</c:v>
                </c:pt>
                <c:pt idx="462">
                  <c:v>4.528</c:v>
                </c:pt>
                <c:pt idx="463">
                  <c:v>4.507</c:v>
                </c:pt>
                <c:pt idx="464">
                  <c:v>4.559</c:v>
                </c:pt>
                <c:pt idx="465">
                  <c:v>4.511</c:v>
                </c:pt>
                <c:pt idx="466">
                  <c:v>4.445</c:v>
                </c:pt>
                <c:pt idx="467">
                  <c:v>4.474</c:v>
                </c:pt>
                <c:pt idx="468">
                  <c:v>4.425</c:v>
                </c:pt>
                <c:pt idx="469">
                  <c:v>4.397</c:v>
                </c:pt>
                <c:pt idx="470">
                  <c:v>4.441</c:v>
                </c:pt>
                <c:pt idx="471">
                  <c:v>4.457</c:v>
                </c:pt>
                <c:pt idx="472">
                  <c:v>4.356</c:v>
                </c:pt>
                <c:pt idx="473">
                  <c:v>4.389</c:v>
                </c:pt>
                <c:pt idx="474">
                  <c:v>4.505</c:v>
                </c:pt>
                <c:pt idx="475">
                  <c:v>4.475</c:v>
                </c:pt>
                <c:pt idx="476">
                  <c:v>4.473</c:v>
                </c:pt>
                <c:pt idx="477">
                  <c:v>4.419</c:v>
                </c:pt>
                <c:pt idx="478">
                  <c:v>4.364</c:v>
                </c:pt>
                <c:pt idx="479">
                  <c:v>4.406</c:v>
                </c:pt>
                <c:pt idx="480">
                  <c:v>4.42</c:v>
                </c:pt>
                <c:pt idx="481">
                  <c:v>4.435</c:v>
                </c:pt>
                <c:pt idx="482">
                  <c:v>4.386</c:v>
                </c:pt>
                <c:pt idx="483">
                  <c:v>4.39</c:v>
                </c:pt>
                <c:pt idx="484">
                  <c:v>4.385</c:v>
                </c:pt>
                <c:pt idx="485">
                  <c:v>4.376</c:v>
                </c:pt>
                <c:pt idx="486">
                  <c:v>4.341</c:v>
                </c:pt>
                <c:pt idx="487">
                  <c:v>4.294</c:v>
                </c:pt>
                <c:pt idx="488">
                  <c:v>4.29</c:v>
                </c:pt>
                <c:pt idx="489">
                  <c:v>4.245</c:v>
                </c:pt>
                <c:pt idx="490">
                  <c:v>4.274</c:v>
                </c:pt>
                <c:pt idx="491">
                  <c:v>4.231</c:v>
                </c:pt>
                <c:pt idx="492">
                  <c:v>4.241</c:v>
                </c:pt>
                <c:pt idx="493">
                  <c:v>4.282</c:v>
                </c:pt>
                <c:pt idx="494">
                  <c:v>4.346</c:v>
                </c:pt>
                <c:pt idx="495">
                  <c:v>4.328</c:v>
                </c:pt>
                <c:pt idx="496">
                  <c:v>4.382</c:v>
                </c:pt>
                <c:pt idx="497">
                  <c:v>4.417</c:v>
                </c:pt>
                <c:pt idx="498">
                  <c:v>4.342</c:v>
                </c:pt>
                <c:pt idx="499">
                  <c:v>4.346</c:v>
                </c:pt>
                <c:pt idx="500">
                  <c:v>4.423</c:v>
                </c:pt>
                <c:pt idx="501">
                  <c:v>4.427</c:v>
                </c:pt>
                <c:pt idx="502">
                  <c:v>4.489</c:v>
                </c:pt>
                <c:pt idx="503">
                  <c:v>4.455</c:v>
                </c:pt>
                <c:pt idx="504">
                  <c:v>4.463</c:v>
                </c:pt>
                <c:pt idx="505">
                  <c:v>4.431</c:v>
                </c:pt>
                <c:pt idx="506">
                  <c:v>4.429</c:v>
                </c:pt>
                <c:pt idx="507">
                  <c:v>4.37</c:v>
                </c:pt>
                <c:pt idx="508">
                  <c:v>4.392</c:v>
                </c:pt>
                <c:pt idx="509">
                  <c:v>4.388</c:v>
                </c:pt>
                <c:pt idx="510">
                  <c:v>4.408</c:v>
                </c:pt>
                <c:pt idx="511">
                  <c:v>4.386</c:v>
                </c:pt>
                <c:pt idx="512">
                  <c:v>4.42</c:v>
                </c:pt>
                <c:pt idx="513">
                  <c:v>4.328</c:v>
                </c:pt>
                <c:pt idx="514">
                  <c:v>4.378</c:v>
                </c:pt>
                <c:pt idx="515">
                  <c:v>4.36</c:v>
                </c:pt>
                <c:pt idx="516">
                  <c:v>4.22</c:v>
                </c:pt>
                <c:pt idx="517">
                  <c:v>4.198</c:v>
                </c:pt>
                <c:pt idx="518">
                  <c:v>4.196</c:v>
                </c:pt>
                <c:pt idx="519">
                  <c:v>4.218</c:v>
                </c:pt>
                <c:pt idx="520">
                  <c:v>4.244</c:v>
                </c:pt>
                <c:pt idx="521">
                  <c:v>4.283</c:v>
                </c:pt>
                <c:pt idx="522">
                  <c:v>4.273</c:v>
                </c:pt>
                <c:pt idx="523">
                  <c:v>4.293</c:v>
                </c:pt>
                <c:pt idx="524">
                  <c:v>4.24</c:v>
                </c:pt>
                <c:pt idx="525">
                  <c:v>4.293</c:v>
                </c:pt>
                <c:pt idx="526">
                  <c:v>4.328</c:v>
                </c:pt>
                <c:pt idx="527">
                  <c:v>4.339</c:v>
                </c:pt>
                <c:pt idx="528">
                  <c:v>4.302</c:v>
                </c:pt>
                <c:pt idx="529">
                  <c:v>4.296</c:v>
                </c:pt>
                <c:pt idx="530">
                  <c:v>4.332</c:v>
                </c:pt>
                <c:pt idx="531">
                  <c:v>4.258</c:v>
                </c:pt>
                <c:pt idx="532">
                  <c:v>4.275</c:v>
                </c:pt>
                <c:pt idx="533">
                  <c:v>4.256</c:v>
                </c:pt>
                <c:pt idx="534">
                  <c:v>4.238</c:v>
                </c:pt>
                <c:pt idx="535">
                  <c:v>4.207</c:v>
                </c:pt>
                <c:pt idx="536">
                  <c:v>4.226</c:v>
                </c:pt>
                <c:pt idx="537">
                  <c:v>4.237</c:v>
                </c:pt>
                <c:pt idx="538">
                  <c:v>4.253</c:v>
                </c:pt>
                <c:pt idx="539">
                  <c:v>4.277</c:v>
                </c:pt>
                <c:pt idx="540">
                  <c:v>4.211</c:v>
                </c:pt>
                <c:pt idx="541">
                  <c:v>4.176</c:v>
                </c:pt>
                <c:pt idx="542">
                  <c:v>4.086</c:v>
                </c:pt>
                <c:pt idx="543">
                  <c:v>4.046</c:v>
                </c:pt>
                <c:pt idx="544">
                  <c:v>4.074</c:v>
                </c:pt>
                <c:pt idx="545">
                  <c:v>4.032</c:v>
                </c:pt>
                <c:pt idx="546">
                  <c:v>4.011</c:v>
                </c:pt>
                <c:pt idx="547">
                  <c:v>4.06</c:v>
                </c:pt>
                <c:pt idx="548">
                  <c:v>4.034</c:v>
                </c:pt>
                <c:pt idx="549">
                  <c:v>4.026</c:v>
                </c:pt>
                <c:pt idx="550">
                  <c:v>4.076</c:v>
                </c:pt>
                <c:pt idx="551">
                  <c:v>4.104</c:v>
                </c:pt>
                <c:pt idx="552">
                  <c:v>4.139</c:v>
                </c:pt>
                <c:pt idx="553">
                  <c:v>4.145</c:v>
                </c:pt>
                <c:pt idx="554">
                  <c:v>4.118</c:v>
                </c:pt>
                <c:pt idx="555">
                  <c:v>4.147</c:v>
                </c:pt>
                <c:pt idx="556">
                  <c:v>4.144</c:v>
                </c:pt>
              </c:numCache>
            </c:numRef>
          </c:val>
          <c:smooth val="0"/>
        </c:ser>
        <c:dLbls>
          <c:showLegendKey val="0"/>
          <c:showVal val="0"/>
          <c:showCatName val="0"/>
          <c:showSerName val="0"/>
          <c:showPercent val="0"/>
          <c:showBubbleSize val="0"/>
        </c:dLbls>
        <c:marker val="0"/>
        <c:smooth val="0"/>
        <c:axId val="262384051"/>
        <c:axId val="979913127"/>
      </c:lineChart>
      <c:dateAx>
        <c:axId val="262384051"/>
        <c:scaling>
          <c:orientation val="minMax"/>
          <c:min val="45224"/>
        </c:scaling>
        <c:delete val="0"/>
        <c:axPos val="b"/>
        <c:numFmt formatCode="dd\-mmm\-yy" sourceLinked="0"/>
        <c:majorTickMark val="out"/>
        <c:minorTickMark val="none"/>
        <c:tickLblPos val="nextTo"/>
        <c:spPr>
          <a:noFill/>
          <a:ln w="9525" cap="flat" cmpd="sng" algn="ctr">
            <a:solidFill>
              <a:schemeClr val="tx1">
                <a:lumMod val="15000"/>
                <a:lumOff val="85000"/>
              </a:schemeClr>
            </a:solidFill>
            <a:round/>
          </a:ln>
          <a:effectLst/>
        </c:spPr>
        <c:txPr>
          <a:bodyPr rot="-5400000" spcFirstLastPara="0" vertOverflow="ellipsis" vert="horz" wrap="square" anchor="ctr" anchorCtr="1"/>
          <a:lstStyle/>
          <a:p>
            <a:pPr>
              <a:defRPr lang="zh-CN" sz="900" b="0" i="0" u="none" strike="noStrike" kern="120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79913127"/>
        <c:crosses val="autoZero"/>
        <c:auto val="0"/>
        <c:lblOffset val="100"/>
        <c:baseTimeUnit val="days"/>
        <c:majorUnit val="1"/>
        <c:majorTimeUnit val="months"/>
        <c:minorUnit val="1"/>
        <c:minorTimeUnit val="days"/>
      </c:dateAx>
      <c:valAx>
        <c:axId val="979913127"/>
        <c:scaling>
          <c:orientation val="minMax"/>
          <c:min val="3"/>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62384051"/>
        <c:crossesAt val="45123"/>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Entry>
      <c:layout>
        <c:manualLayout>
          <c:xMode val="edge"/>
          <c:yMode val="edge"/>
          <c:x val="0.065625"/>
          <c:y val="0.034825870646766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chemeClr val="bg1"/>
    </a:solidFill>
    <a:ln w="9525" cap="flat" cmpd="sng" algn="ctr">
      <a:noFill/>
      <a:round/>
    </a:ln>
    <a:effectLst/>
  </c:spPr>
  <c:txPr>
    <a:bodyPr/>
    <a:lstStyle/>
    <a:p>
      <a:pPr>
        <a:defRPr lang="zh-CN">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3621560920831"/>
          <c:y val="0.0509015777610819"/>
          <c:w val="0.915148792813026"/>
          <c:h val="0.755334335086401"/>
        </c:manualLayout>
      </c:layout>
      <c:lineChart>
        <c:grouping val="standard"/>
        <c:varyColors val="0"/>
        <c:ser>
          <c:idx val="0"/>
          <c:order val="0"/>
          <c:tx>
            <c:strRef>
              <c:f>'[2-费城半导体指数历史数据.xlsx]费城半导体指数历史数据'!$B$1</c:f>
              <c:strCache>
                <c:ptCount val="1"/>
                <c:pt idx="0">
                  <c:v>The Philadelphia Semiconductor Index (SOX) Close</c:v>
                </c:pt>
              </c:strCache>
            </c:strRef>
          </c:tx>
          <c:spPr>
            <a:ln w="19050" cap="rnd">
              <a:solidFill>
                <a:srgbClr val="7030A0"/>
              </a:solidFill>
              <a:round/>
            </a:ln>
            <a:effectLst/>
          </c:spPr>
          <c:marker>
            <c:symbol val="none"/>
          </c:marker>
          <c:dLbls>
            <c:delete val="1"/>
          </c:dLbls>
          <c:cat>
            <c:numRef>
              <c:f>'[2-费城半导体指数历史数据.xlsx]费城半导体指数历史数据'!$A$42:$A$608</c:f>
              <c:numCache>
                <c:formatCode>dd\-mmm\-yy</c:formatCode>
                <c:ptCount val="567"/>
                <c:pt idx="0" c:formatCode="dd\-mmm\-yy">
                  <c:v>45077</c:v>
                </c:pt>
                <c:pt idx="1" c:formatCode="dd\-mmm\-yy">
                  <c:v>45078</c:v>
                </c:pt>
                <c:pt idx="2" c:formatCode="dd\-mmm\-yy">
                  <c:v>45079</c:v>
                </c:pt>
                <c:pt idx="3" c:formatCode="dd\-mmm\-yy">
                  <c:v>45082</c:v>
                </c:pt>
                <c:pt idx="4" c:formatCode="dd\-mmm\-yy">
                  <c:v>45083</c:v>
                </c:pt>
                <c:pt idx="5" c:formatCode="dd\-mmm\-yy">
                  <c:v>45084</c:v>
                </c:pt>
                <c:pt idx="6" c:formatCode="dd\-mmm\-yy">
                  <c:v>45085</c:v>
                </c:pt>
                <c:pt idx="7" c:formatCode="dd\-mmm\-yy">
                  <c:v>45086</c:v>
                </c:pt>
                <c:pt idx="8" c:formatCode="dd\-mmm\-yy">
                  <c:v>45089</c:v>
                </c:pt>
                <c:pt idx="9" c:formatCode="dd\-mmm\-yy">
                  <c:v>45090</c:v>
                </c:pt>
                <c:pt idx="10" c:formatCode="dd\-mmm\-yy">
                  <c:v>45091</c:v>
                </c:pt>
                <c:pt idx="11" c:formatCode="dd\-mmm\-yy">
                  <c:v>45092</c:v>
                </c:pt>
                <c:pt idx="12" c:formatCode="dd\-mmm\-yy">
                  <c:v>45093</c:v>
                </c:pt>
                <c:pt idx="13" c:formatCode="dd\-mmm\-yy">
                  <c:v>45097</c:v>
                </c:pt>
                <c:pt idx="14" c:formatCode="dd\-mmm\-yy">
                  <c:v>45098</c:v>
                </c:pt>
                <c:pt idx="15" c:formatCode="dd\-mmm\-yy">
                  <c:v>45099</c:v>
                </c:pt>
                <c:pt idx="16" c:formatCode="dd\-mmm\-yy">
                  <c:v>45100</c:v>
                </c:pt>
                <c:pt idx="17" c:formatCode="dd\-mmm\-yy">
                  <c:v>45103</c:v>
                </c:pt>
                <c:pt idx="18" c:formatCode="dd\-mmm\-yy">
                  <c:v>45104</c:v>
                </c:pt>
                <c:pt idx="19" c:formatCode="dd\-mmm\-yy">
                  <c:v>45105</c:v>
                </c:pt>
                <c:pt idx="20" c:formatCode="dd\-mmm\-yy">
                  <c:v>45106</c:v>
                </c:pt>
                <c:pt idx="21" c:formatCode="dd\-mmm\-yy">
                  <c:v>45107</c:v>
                </c:pt>
                <c:pt idx="22" c:formatCode="dd\-mmm\-yy">
                  <c:v>45110</c:v>
                </c:pt>
                <c:pt idx="23" c:formatCode="dd\-mmm\-yy">
                  <c:v>45112</c:v>
                </c:pt>
                <c:pt idx="24" c:formatCode="dd\-mmm\-yy">
                  <c:v>45113</c:v>
                </c:pt>
                <c:pt idx="25" c:formatCode="dd\-mmm\-yy">
                  <c:v>45114</c:v>
                </c:pt>
                <c:pt idx="26" c:formatCode="dd\-mmm\-yy">
                  <c:v>45117</c:v>
                </c:pt>
                <c:pt idx="27" c:formatCode="dd\-mmm\-yy">
                  <c:v>45118</c:v>
                </c:pt>
                <c:pt idx="28" c:formatCode="dd\-mmm\-yy">
                  <c:v>45119</c:v>
                </c:pt>
                <c:pt idx="29" c:formatCode="dd\-mmm\-yy">
                  <c:v>45120</c:v>
                </c:pt>
                <c:pt idx="30" c:formatCode="dd\-mmm\-yy">
                  <c:v>45121</c:v>
                </c:pt>
                <c:pt idx="31" c:formatCode="dd\-mmm\-yy">
                  <c:v>45124</c:v>
                </c:pt>
                <c:pt idx="32" c:formatCode="dd\-mmm\-yy">
                  <c:v>45125</c:v>
                </c:pt>
                <c:pt idx="33" c:formatCode="dd\-mmm\-yy">
                  <c:v>45126</c:v>
                </c:pt>
                <c:pt idx="34" c:formatCode="dd\-mmm\-yy">
                  <c:v>45127</c:v>
                </c:pt>
                <c:pt idx="35" c:formatCode="dd\-mmm\-yy">
                  <c:v>45128</c:v>
                </c:pt>
                <c:pt idx="36" c:formatCode="dd\-mmm\-yy">
                  <c:v>45131</c:v>
                </c:pt>
                <c:pt idx="37" c:formatCode="dd\-mmm\-yy">
                  <c:v>45132</c:v>
                </c:pt>
                <c:pt idx="38" c:formatCode="dd\-mmm\-yy">
                  <c:v>45133</c:v>
                </c:pt>
                <c:pt idx="39" c:formatCode="dd\-mmm\-yy">
                  <c:v>45134</c:v>
                </c:pt>
                <c:pt idx="40" c:formatCode="dd\-mmm\-yy">
                  <c:v>45135</c:v>
                </c:pt>
                <c:pt idx="41" c:formatCode="dd\-mmm\-yy">
                  <c:v>45138</c:v>
                </c:pt>
                <c:pt idx="42" c:formatCode="dd\-mmm\-yy">
                  <c:v>45139</c:v>
                </c:pt>
                <c:pt idx="43" c:formatCode="dd\-mmm\-yy">
                  <c:v>45140</c:v>
                </c:pt>
                <c:pt idx="44" c:formatCode="dd\-mmm\-yy">
                  <c:v>45141</c:v>
                </c:pt>
                <c:pt idx="45" c:formatCode="dd\-mmm\-yy">
                  <c:v>45142</c:v>
                </c:pt>
                <c:pt idx="46" c:formatCode="dd\-mmm\-yy">
                  <c:v>45145</c:v>
                </c:pt>
                <c:pt idx="47" c:formatCode="dd\-mmm\-yy">
                  <c:v>45146</c:v>
                </c:pt>
                <c:pt idx="48" c:formatCode="dd\-mmm\-yy">
                  <c:v>45147</c:v>
                </c:pt>
                <c:pt idx="49" c:formatCode="dd\-mmm\-yy">
                  <c:v>45148</c:v>
                </c:pt>
                <c:pt idx="50" c:formatCode="dd\-mmm\-yy">
                  <c:v>45149</c:v>
                </c:pt>
                <c:pt idx="51" c:formatCode="dd\-mmm\-yy">
                  <c:v>45152</c:v>
                </c:pt>
                <c:pt idx="52" c:formatCode="dd\-mmm\-yy">
                  <c:v>45153</c:v>
                </c:pt>
                <c:pt idx="53" c:formatCode="dd\-mmm\-yy">
                  <c:v>45154</c:v>
                </c:pt>
                <c:pt idx="54" c:formatCode="dd\-mmm\-yy">
                  <c:v>45155</c:v>
                </c:pt>
                <c:pt idx="55" c:formatCode="dd\-mmm\-yy">
                  <c:v>45156</c:v>
                </c:pt>
                <c:pt idx="56" c:formatCode="dd\-mmm\-yy">
                  <c:v>45159</c:v>
                </c:pt>
                <c:pt idx="57" c:formatCode="dd\-mmm\-yy">
                  <c:v>45160</c:v>
                </c:pt>
                <c:pt idx="58" c:formatCode="dd\-mmm\-yy">
                  <c:v>45161</c:v>
                </c:pt>
                <c:pt idx="59" c:formatCode="dd\-mmm\-yy">
                  <c:v>45162</c:v>
                </c:pt>
                <c:pt idx="60" c:formatCode="dd\-mmm\-yy">
                  <c:v>45163</c:v>
                </c:pt>
                <c:pt idx="61" c:formatCode="dd\-mmm\-yy">
                  <c:v>45166</c:v>
                </c:pt>
                <c:pt idx="62" c:formatCode="dd\-mmm\-yy">
                  <c:v>45167</c:v>
                </c:pt>
                <c:pt idx="63" c:formatCode="dd\-mmm\-yy">
                  <c:v>45168</c:v>
                </c:pt>
                <c:pt idx="64" c:formatCode="dd\-mmm\-yy">
                  <c:v>45169</c:v>
                </c:pt>
                <c:pt idx="65" c:formatCode="dd\-mmm\-yy">
                  <c:v>45170</c:v>
                </c:pt>
                <c:pt idx="66" c:formatCode="dd\-mmm\-yy">
                  <c:v>45174</c:v>
                </c:pt>
                <c:pt idx="67" c:formatCode="dd\-mmm\-yy">
                  <c:v>45175</c:v>
                </c:pt>
                <c:pt idx="68" c:formatCode="dd\-mmm\-yy">
                  <c:v>45176</c:v>
                </c:pt>
                <c:pt idx="69" c:formatCode="dd\-mmm\-yy">
                  <c:v>45177</c:v>
                </c:pt>
                <c:pt idx="70" c:formatCode="dd\-mmm\-yy">
                  <c:v>45180</c:v>
                </c:pt>
                <c:pt idx="71" c:formatCode="dd\-mmm\-yy">
                  <c:v>45181</c:v>
                </c:pt>
                <c:pt idx="72" c:formatCode="dd\-mmm\-yy">
                  <c:v>45182</c:v>
                </c:pt>
                <c:pt idx="73" c:formatCode="dd\-mmm\-yy">
                  <c:v>45183</c:v>
                </c:pt>
                <c:pt idx="74" c:formatCode="dd\-mmm\-yy">
                  <c:v>45184</c:v>
                </c:pt>
                <c:pt idx="75" c:formatCode="dd\-mmm\-yy">
                  <c:v>45187</c:v>
                </c:pt>
                <c:pt idx="76" c:formatCode="dd\-mmm\-yy">
                  <c:v>45188</c:v>
                </c:pt>
                <c:pt idx="77" c:formatCode="dd\-mmm\-yy">
                  <c:v>45189</c:v>
                </c:pt>
                <c:pt idx="78" c:formatCode="dd\-mmm\-yy">
                  <c:v>45190</c:v>
                </c:pt>
                <c:pt idx="79" c:formatCode="dd\-mmm\-yy">
                  <c:v>45191</c:v>
                </c:pt>
                <c:pt idx="80" c:formatCode="dd\-mmm\-yy">
                  <c:v>45194</c:v>
                </c:pt>
                <c:pt idx="81" c:formatCode="dd\-mmm\-yy">
                  <c:v>45195</c:v>
                </c:pt>
                <c:pt idx="82" c:formatCode="dd\-mmm\-yy">
                  <c:v>45196</c:v>
                </c:pt>
                <c:pt idx="83" c:formatCode="dd\-mmm\-yy">
                  <c:v>45197</c:v>
                </c:pt>
                <c:pt idx="84" c:formatCode="dd\-mmm\-yy">
                  <c:v>45198</c:v>
                </c:pt>
                <c:pt idx="85" c:formatCode="dd\-mmm\-yy">
                  <c:v>45201</c:v>
                </c:pt>
                <c:pt idx="86" c:formatCode="dd\-mmm\-yy">
                  <c:v>45202</c:v>
                </c:pt>
                <c:pt idx="87" c:formatCode="dd\-mmm\-yy">
                  <c:v>45203</c:v>
                </c:pt>
                <c:pt idx="88" c:formatCode="dd\-mmm\-yy">
                  <c:v>45204</c:v>
                </c:pt>
                <c:pt idx="89" c:formatCode="dd\-mmm\-yy">
                  <c:v>45205</c:v>
                </c:pt>
                <c:pt idx="90" c:formatCode="dd\-mmm\-yy">
                  <c:v>45208</c:v>
                </c:pt>
                <c:pt idx="91" c:formatCode="dd\-mmm\-yy">
                  <c:v>45209</c:v>
                </c:pt>
                <c:pt idx="92" c:formatCode="dd\-mmm\-yy">
                  <c:v>45210</c:v>
                </c:pt>
                <c:pt idx="93" c:formatCode="dd\-mmm\-yy">
                  <c:v>45211</c:v>
                </c:pt>
                <c:pt idx="94" c:formatCode="dd\-mmm\-yy">
                  <c:v>45212</c:v>
                </c:pt>
                <c:pt idx="95" c:formatCode="dd\-mmm\-yy">
                  <c:v>45215</c:v>
                </c:pt>
                <c:pt idx="96" c:formatCode="dd\-mmm\-yy">
                  <c:v>45216</c:v>
                </c:pt>
                <c:pt idx="97" c:formatCode="dd\-mmm\-yy">
                  <c:v>45217</c:v>
                </c:pt>
                <c:pt idx="98" c:formatCode="dd\-mmm\-yy">
                  <c:v>45218</c:v>
                </c:pt>
                <c:pt idx="99" c:formatCode="dd\-mmm\-yy">
                  <c:v>45219</c:v>
                </c:pt>
                <c:pt idx="100" c:formatCode="dd\-mmm\-yy">
                  <c:v>45222</c:v>
                </c:pt>
                <c:pt idx="101" c:formatCode="dd\-mmm\-yy">
                  <c:v>45223</c:v>
                </c:pt>
                <c:pt idx="102" c:formatCode="dd\-mmm\-yy">
                  <c:v>45224</c:v>
                </c:pt>
                <c:pt idx="103" c:formatCode="dd\-mmm\-yy">
                  <c:v>45225</c:v>
                </c:pt>
                <c:pt idx="104" c:formatCode="dd\-mmm\-yy">
                  <c:v>45226</c:v>
                </c:pt>
                <c:pt idx="105" c:formatCode="dd\-mmm\-yy">
                  <c:v>45229</c:v>
                </c:pt>
                <c:pt idx="106" c:formatCode="dd\-mmm\-yy">
                  <c:v>45230</c:v>
                </c:pt>
                <c:pt idx="107" c:formatCode="dd\-mmm\-yy">
                  <c:v>45231</c:v>
                </c:pt>
                <c:pt idx="108" c:formatCode="dd\-mmm\-yy">
                  <c:v>45232</c:v>
                </c:pt>
                <c:pt idx="109" c:formatCode="dd\-mmm\-yy">
                  <c:v>45233</c:v>
                </c:pt>
                <c:pt idx="110" c:formatCode="dd\-mmm\-yy">
                  <c:v>45236</c:v>
                </c:pt>
                <c:pt idx="111" c:formatCode="dd\-mmm\-yy">
                  <c:v>45237</c:v>
                </c:pt>
                <c:pt idx="112" c:formatCode="dd\-mmm\-yy">
                  <c:v>45238</c:v>
                </c:pt>
                <c:pt idx="113" c:formatCode="dd\-mmm\-yy">
                  <c:v>45239</c:v>
                </c:pt>
                <c:pt idx="114" c:formatCode="dd\-mmm\-yy">
                  <c:v>45240</c:v>
                </c:pt>
                <c:pt idx="115" c:formatCode="dd\-mmm\-yy">
                  <c:v>45243</c:v>
                </c:pt>
                <c:pt idx="116" c:formatCode="dd\-mmm\-yy">
                  <c:v>45244</c:v>
                </c:pt>
                <c:pt idx="117" c:formatCode="dd\-mmm\-yy">
                  <c:v>45245</c:v>
                </c:pt>
                <c:pt idx="118" c:formatCode="dd\-mmm\-yy">
                  <c:v>45246</c:v>
                </c:pt>
                <c:pt idx="119" c:formatCode="dd\-mmm\-yy">
                  <c:v>45247</c:v>
                </c:pt>
                <c:pt idx="120" c:formatCode="dd\-mmm\-yy">
                  <c:v>45250</c:v>
                </c:pt>
                <c:pt idx="121" c:formatCode="dd\-mmm\-yy">
                  <c:v>45251</c:v>
                </c:pt>
                <c:pt idx="122" c:formatCode="dd\-mmm\-yy">
                  <c:v>45252</c:v>
                </c:pt>
                <c:pt idx="123" c:formatCode="dd\-mmm\-yy">
                  <c:v>45254</c:v>
                </c:pt>
                <c:pt idx="124" c:formatCode="dd\-mmm\-yy">
                  <c:v>45257</c:v>
                </c:pt>
                <c:pt idx="125" c:formatCode="dd\-mmm\-yy">
                  <c:v>45258</c:v>
                </c:pt>
                <c:pt idx="126" c:formatCode="dd\-mmm\-yy">
                  <c:v>45259</c:v>
                </c:pt>
                <c:pt idx="127" c:formatCode="dd\-mmm\-yy">
                  <c:v>45260</c:v>
                </c:pt>
                <c:pt idx="128" c:formatCode="dd\-mmm\-yy">
                  <c:v>45261</c:v>
                </c:pt>
                <c:pt idx="129" c:formatCode="dd\-mmm\-yy">
                  <c:v>45264</c:v>
                </c:pt>
                <c:pt idx="130" c:formatCode="dd\-mmm\-yy">
                  <c:v>45265</c:v>
                </c:pt>
                <c:pt idx="131" c:formatCode="dd\-mmm\-yy">
                  <c:v>45266</c:v>
                </c:pt>
                <c:pt idx="132" c:formatCode="dd\-mmm\-yy">
                  <c:v>45267</c:v>
                </c:pt>
                <c:pt idx="133" c:formatCode="dd\-mmm\-yy">
                  <c:v>45268</c:v>
                </c:pt>
                <c:pt idx="134" c:formatCode="dd\-mmm\-yy">
                  <c:v>45271</c:v>
                </c:pt>
                <c:pt idx="135" c:formatCode="dd\-mmm\-yy">
                  <c:v>45272</c:v>
                </c:pt>
                <c:pt idx="136" c:formatCode="dd\-mmm\-yy">
                  <c:v>45273</c:v>
                </c:pt>
                <c:pt idx="137" c:formatCode="dd\-mmm\-yy">
                  <c:v>45274</c:v>
                </c:pt>
                <c:pt idx="138" c:formatCode="dd\-mmm\-yy">
                  <c:v>45275</c:v>
                </c:pt>
                <c:pt idx="139" c:formatCode="dd\-mmm\-yy">
                  <c:v>45278</c:v>
                </c:pt>
                <c:pt idx="140" c:formatCode="dd\-mmm\-yy">
                  <c:v>45279</c:v>
                </c:pt>
                <c:pt idx="141" c:formatCode="dd\-mmm\-yy">
                  <c:v>45280</c:v>
                </c:pt>
                <c:pt idx="142" c:formatCode="dd\-mmm\-yy">
                  <c:v>45281</c:v>
                </c:pt>
                <c:pt idx="143" c:formatCode="dd\-mmm\-yy">
                  <c:v>45282</c:v>
                </c:pt>
                <c:pt idx="144" c:formatCode="dd\-mmm\-yy">
                  <c:v>45286</c:v>
                </c:pt>
                <c:pt idx="145" c:formatCode="dd\-mmm\-yy">
                  <c:v>45287</c:v>
                </c:pt>
                <c:pt idx="146" c:formatCode="dd\-mmm\-yy">
                  <c:v>45288</c:v>
                </c:pt>
                <c:pt idx="147" c:formatCode="dd\-mmm\-yy">
                  <c:v>45289</c:v>
                </c:pt>
                <c:pt idx="148" c:formatCode="dd\-mmm\-yy">
                  <c:v>45293</c:v>
                </c:pt>
                <c:pt idx="149" c:formatCode="dd\-mmm\-yy">
                  <c:v>45294</c:v>
                </c:pt>
                <c:pt idx="150" c:formatCode="dd\-mmm\-yy">
                  <c:v>45295</c:v>
                </c:pt>
                <c:pt idx="151" c:formatCode="dd\-mmm\-yy">
                  <c:v>45296</c:v>
                </c:pt>
                <c:pt idx="152" c:formatCode="dd\-mmm\-yy">
                  <c:v>45299</c:v>
                </c:pt>
                <c:pt idx="153" c:formatCode="dd\-mmm\-yy">
                  <c:v>45300</c:v>
                </c:pt>
                <c:pt idx="154" c:formatCode="dd\-mmm\-yy">
                  <c:v>45301</c:v>
                </c:pt>
                <c:pt idx="155" c:formatCode="dd\-mmm\-yy">
                  <c:v>45302</c:v>
                </c:pt>
                <c:pt idx="156" c:formatCode="dd\-mmm\-yy">
                  <c:v>45303</c:v>
                </c:pt>
                <c:pt idx="157" c:formatCode="dd\-mmm\-yy">
                  <c:v>45307</c:v>
                </c:pt>
                <c:pt idx="158" c:formatCode="dd\-mmm\-yy">
                  <c:v>45308</c:v>
                </c:pt>
                <c:pt idx="159" c:formatCode="dd\-mmm\-yy">
                  <c:v>45309</c:v>
                </c:pt>
                <c:pt idx="160" c:formatCode="dd\-mmm\-yy">
                  <c:v>45310</c:v>
                </c:pt>
                <c:pt idx="161" c:formatCode="dd\-mmm\-yy">
                  <c:v>45313</c:v>
                </c:pt>
                <c:pt idx="162" c:formatCode="dd\-mmm\-yy">
                  <c:v>45314</c:v>
                </c:pt>
                <c:pt idx="163" c:formatCode="dd\-mmm\-yy">
                  <c:v>45315</c:v>
                </c:pt>
                <c:pt idx="164" c:formatCode="dd\-mmm\-yy">
                  <c:v>45316</c:v>
                </c:pt>
                <c:pt idx="165" c:formatCode="dd\-mmm\-yy">
                  <c:v>45317</c:v>
                </c:pt>
                <c:pt idx="166" c:formatCode="dd\-mmm\-yy">
                  <c:v>45320</c:v>
                </c:pt>
                <c:pt idx="167" c:formatCode="dd\-mmm\-yy">
                  <c:v>45321</c:v>
                </c:pt>
                <c:pt idx="168" c:formatCode="dd\-mmm\-yy">
                  <c:v>45322</c:v>
                </c:pt>
                <c:pt idx="169" c:formatCode="dd\-mmm\-yy">
                  <c:v>45323</c:v>
                </c:pt>
                <c:pt idx="170" c:formatCode="dd\-mmm\-yy">
                  <c:v>45324</c:v>
                </c:pt>
                <c:pt idx="171" c:formatCode="dd\-mmm\-yy">
                  <c:v>45327</c:v>
                </c:pt>
                <c:pt idx="172" c:formatCode="dd\-mmm\-yy">
                  <c:v>45328</c:v>
                </c:pt>
                <c:pt idx="173" c:formatCode="dd\-mmm\-yy">
                  <c:v>45329</c:v>
                </c:pt>
                <c:pt idx="174" c:formatCode="dd\-mmm\-yy">
                  <c:v>45330</c:v>
                </c:pt>
                <c:pt idx="175" c:formatCode="dd\-mmm\-yy">
                  <c:v>45331</c:v>
                </c:pt>
                <c:pt idx="176" c:formatCode="dd\-mmm\-yy">
                  <c:v>45334</c:v>
                </c:pt>
                <c:pt idx="177" c:formatCode="dd\-mmm\-yy">
                  <c:v>45335</c:v>
                </c:pt>
                <c:pt idx="178" c:formatCode="dd\-mmm\-yy">
                  <c:v>45336</c:v>
                </c:pt>
                <c:pt idx="179" c:formatCode="dd\-mmm\-yy">
                  <c:v>45337</c:v>
                </c:pt>
                <c:pt idx="180" c:formatCode="dd\-mmm\-yy">
                  <c:v>45338</c:v>
                </c:pt>
                <c:pt idx="181" c:formatCode="dd\-mmm\-yy">
                  <c:v>45342</c:v>
                </c:pt>
                <c:pt idx="182" c:formatCode="dd\-mmm\-yy">
                  <c:v>45343</c:v>
                </c:pt>
                <c:pt idx="183" c:formatCode="dd\-mmm\-yy">
                  <c:v>45344</c:v>
                </c:pt>
                <c:pt idx="184" c:formatCode="dd\-mmm\-yy">
                  <c:v>45345</c:v>
                </c:pt>
                <c:pt idx="185" c:formatCode="dd\-mmm\-yy">
                  <c:v>45348</c:v>
                </c:pt>
                <c:pt idx="186" c:formatCode="dd\-mmm\-yy">
                  <c:v>45349</c:v>
                </c:pt>
                <c:pt idx="187" c:formatCode="dd\-mmm\-yy">
                  <c:v>45350</c:v>
                </c:pt>
                <c:pt idx="188" c:formatCode="dd\-mmm\-yy">
                  <c:v>45351</c:v>
                </c:pt>
                <c:pt idx="189" c:formatCode="dd\-mmm\-yy">
                  <c:v>45352</c:v>
                </c:pt>
                <c:pt idx="190" c:formatCode="dd\-mmm\-yy">
                  <c:v>45355</c:v>
                </c:pt>
                <c:pt idx="191" c:formatCode="dd\-mmm\-yy">
                  <c:v>45356</c:v>
                </c:pt>
                <c:pt idx="192" c:formatCode="dd\-mmm\-yy">
                  <c:v>45357</c:v>
                </c:pt>
                <c:pt idx="193" c:formatCode="dd\-mmm\-yy">
                  <c:v>45358</c:v>
                </c:pt>
                <c:pt idx="194" c:formatCode="dd\-mmm\-yy">
                  <c:v>45359</c:v>
                </c:pt>
                <c:pt idx="195" c:formatCode="dd\-mmm\-yy">
                  <c:v>45362</c:v>
                </c:pt>
                <c:pt idx="196" c:formatCode="dd\-mmm\-yy">
                  <c:v>45363</c:v>
                </c:pt>
                <c:pt idx="197" c:formatCode="dd\-mmm\-yy">
                  <c:v>45364</c:v>
                </c:pt>
                <c:pt idx="198" c:formatCode="dd\-mmm\-yy">
                  <c:v>45365</c:v>
                </c:pt>
                <c:pt idx="199" c:formatCode="dd\-mmm\-yy">
                  <c:v>45366</c:v>
                </c:pt>
                <c:pt idx="200" c:formatCode="dd\-mmm\-yy">
                  <c:v>45369</c:v>
                </c:pt>
                <c:pt idx="201" c:formatCode="dd\-mmm\-yy">
                  <c:v>45370</c:v>
                </c:pt>
                <c:pt idx="202" c:formatCode="dd\-mmm\-yy">
                  <c:v>45371</c:v>
                </c:pt>
                <c:pt idx="203" c:formatCode="dd\-mmm\-yy">
                  <c:v>45372</c:v>
                </c:pt>
                <c:pt idx="204" c:formatCode="dd\-mmm\-yy">
                  <c:v>45373</c:v>
                </c:pt>
                <c:pt idx="205" c:formatCode="dd\-mmm\-yy">
                  <c:v>45376</c:v>
                </c:pt>
                <c:pt idx="206" c:formatCode="dd\-mmm\-yy">
                  <c:v>45377</c:v>
                </c:pt>
                <c:pt idx="207" c:formatCode="dd\-mmm\-yy">
                  <c:v>45378</c:v>
                </c:pt>
                <c:pt idx="208" c:formatCode="dd\-mmm\-yy">
                  <c:v>45379</c:v>
                </c:pt>
                <c:pt idx="209" c:formatCode="dd\-mmm\-yy">
                  <c:v>45383</c:v>
                </c:pt>
                <c:pt idx="210" c:formatCode="dd\-mmm\-yy">
                  <c:v>45384</c:v>
                </c:pt>
                <c:pt idx="211" c:formatCode="dd\-mmm\-yy">
                  <c:v>45385</c:v>
                </c:pt>
                <c:pt idx="212" c:formatCode="dd\-mmm\-yy">
                  <c:v>45386</c:v>
                </c:pt>
                <c:pt idx="213" c:formatCode="dd\-mmm\-yy">
                  <c:v>45387</c:v>
                </c:pt>
                <c:pt idx="214" c:formatCode="dd\-mmm\-yy">
                  <c:v>45390</c:v>
                </c:pt>
                <c:pt idx="215" c:formatCode="dd\-mmm\-yy">
                  <c:v>45391</c:v>
                </c:pt>
                <c:pt idx="216" c:formatCode="dd\-mmm\-yy">
                  <c:v>45392</c:v>
                </c:pt>
                <c:pt idx="217" c:formatCode="dd\-mmm\-yy">
                  <c:v>45393</c:v>
                </c:pt>
                <c:pt idx="218" c:formatCode="dd\-mmm\-yy">
                  <c:v>45394</c:v>
                </c:pt>
                <c:pt idx="219" c:formatCode="dd\-mmm\-yy">
                  <c:v>45397</c:v>
                </c:pt>
                <c:pt idx="220" c:formatCode="dd\-mmm\-yy">
                  <c:v>45398</c:v>
                </c:pt>
                <c:pt idx="221" c:formatCode="dd\-mmm\-yy">
                  <c:v>45399</c:v>
                </c:pt>
                <c:pt idx="222" c:formatCode="dd\-mmm\-yy">
                  <c:v>45400</c:v>
                </c:pt>
                <c:pt idx="223" c:formatCode="dd\-mmm\-yy">
                  <c:v>45401</c:v>
                </c:pt>
                <c:pt idx="224" c:formatCode="dd\-mmm\-yy">
                  <c:v>45404</c:v>
                </c:pt>
                <c:pt idx="225" c:formatCode="dd\-mmm\-yy">
                  <c:v>45405</c:v>
                </c:pt>
                <c:pt idx="226" c:formatCode="dd\-mmm\-yy">
                  <c:v>45406</c:v>
                </c:pt>
                <c:pt idx="227" c:formatCode="dd\-mmm\-yy">
                  <c:v>45407</c:v>
                </c:pt>
                <c:pt idx="228" c:formatCode="dd\-mmm\-yy">
                  <c:v>45408</c:v>
                </c:pt>
                <c:pt idx="229" c:formatCode="dd\-mmm\-yy">
                  <c:v>45411</c:v>
                </c:pt>
                <c:pt idx="230" c:formatCode="dd\-mmm\-yy">
                  <c:v>45412</c:v>
                </c:pt>
                <c:pt idx="231" c:formatCode="dd\-mmm\-yy">
                  <c:v>45413</c:v>
                </c:pt>
                <c:pt idx="232" c:formatCode="dd\-mmm\-yy">
                  <c:v>45414</c:v>
                </c:pt>
                <c:pt idx="233" c:formatCode="dd\-mmm\-yy">
                  <c:v>45415</c:v>
                </c:pt>
                <c:pt idx="234" c:formatCode="dd\-mmm\-yy">
                  <c:v>45418</c:v>
                </c:pt>
                <c:pt idx="235" c:formatCode="dd\-mmm\-yy">
                  <c:v>45419</c:v>
                </c:pt>
                <c:pt idx="236" c:formatCode="dd\-mmm\-yy">
                  <c:v>45420</c:v>
                </c:pt>
                <c:pt idx="237" c:formatCode="dd\-mmm\-yy">
                  <c:v>45421</c:v>
                </c:pt>
                <c:pt idx="238" c:formatCode="dd\-mmm\-yy">
                  <c:v>45422</c:v>
                </c:pt>
                <c:pt idx="239" c:formatCode="dd\-mmm\-yy">
                  <c:v>45425</c:v>
                </c:pt>
                <c:pt idx="240" c:formatCode="dd\-mmm\-yy">
                  <c:v>45426</c:v>
                </c:pt>
                <c:pt idx="241" c:formatCode="dd\-mmm\-yy">
                  <c:v>45427</c:v>
                </c:pt>
                <c:pt idx="242" c:formatCode="dd\-mmm\-yy">
                  <c:v>45428</c:v>
                </c:pt>
                <c:pt idx="243" c:formatCode="dd\-mmm\-yy">
                  <c:v>45429</c:v>
                </c:pt>
                <c:pt idx="244" c:formatCode="dd\-mmm\-yy">
                  <c:v>45430</c:v>
                </c:pt>
                <c:pt idx="245" c:formatCode="dd\-mmm\-yy">
                  <c:v>45432</c:v>
                </c:pt>
                <c:pt idx="246" c:formatCode="dd\-mmm\-yy">
                  <c:v>45433</c:v>
                </c:pt>
                <c:pt idx="247" c:formatCode="dd\-mmm\-yy">
                  <c:v>45434</c:v>
                </c:pt>
                <c:pt idx="248" c:formatCode="dd\-mmm\-yy">
                  <c:v>45435</c:v>
                </c:pt>
                <c:pt idx="249" c:formatCode="dd\-mmm\-yy">
                  <c:v>45436</c:v>
                </c:pt>
                <c:pt idx="250" c:formatCode="dd\-mmm\-yy">
                  <c:v>45440</c:v>
                </c:pt>
                <c:pt idx="251" c:formatCode="dd\-mmm\-yy">
                  <c:v>45441</c:v>
                </c:pt>
                <c:pt idx="252" c:formatCode="dd\-mmm\-yy">
                  <c:v>45450</c:v>
                </c:pt>
                <c:pt idx="253" c:formatCode="dd\-mmm\-yy">
                  <c:v>45455</c:v>
                </c:pt>
                <c:pt idx="254" c:formatCode="dd\-mmm\-yy">
                  <c:v>45470</c:v>
                </c:pt>
                <c:pt idx="255" c:formatCode="dd\-mmm\-yy">
                  <c:v>45476</c:v>
                </c:pt>
                <c:pt idx="256" c:formatCode="dd\-mmm\-yy">
                  <c:v>45477</c:v>
                </c:pt>
                <c:pt idx="257" c:formatCode="dd\-mmm\-yy">
                  <c:v>45478</c:v>
                </c:pt>
                <c:pt idx="258" c:formatCode="dd\-mmm\-yy">
                  <c:v>45481</c:v>
                </c:pt>
                <c:pt idx="259" c:formatCode="dd\-mmm\-yy">
                  <c:v>45488</c:v>
                </c:pt>
                <c:pt idx="260" c:formatCode="dd\-mmm\-yy">
                  <c:v>45489</c:v>
                </c:pt>
                <c:pt idx="261" c:formatCode="dd\-mmm\-yy">
                  <c:v>45490</c:v>
                </c:pt>
                <c:pt idx="262" c:formatCode="dd\-mmm\-yy">
                  <c:v>45491</c:v>
                </c:pt>
                <c:pt idx="263" c:formatCode="dd\-mmm\-yy">
                  <c:v>45492</c:v>
                </c:pt>
                <c:pt idx="264" c:formatCode="dd\-mmm\-yy">
                  <c:v>45495</c:v>
                </c:pt>
                <c:pt idx="265" c:formatCode="dd\-mmm\-yy">
                  <c:v>45496</c:v>
                </c:pt>
                <c:pt idx="266" c:formatCode="dd\-mmm\-yy">
                  <c:v>45497</c:v>
                </c:pt>
                <c:pt idx="267" c:formatCode="dd\-mmm\-yy">
                  <c:v>45498</c:v>
                </c:pt>
                <c:pt idx="268" c:formatCode="dd\-mmm\-yy">
                  <c:v>45499</c:v>
                </c:pt>
                <c:pt idx="269" c:formatCode="dd\-mmm\-yy">
                  <c:v>45502</c:v>
                </c:pt>
                <c:pt idx="270" c:formatCode="dd\-mmm\-yy">
                  <c:v>45503</c:v>
                </c:pt>
                <c:pt idx="271" c:formatCode="dd\-mmm\-yy">
                  <c:v>45504</c:v>
                </c:pt>
                <c:pt idx="272" c:formatCode="dd\-mmm\-yy">
                  <c:v>45505</c:v>
                </c:pt>
                <c:pt idx="273" c:formatCode="dd\-mmm\-yy">
                  <c:v>45506</c:v>
                </c:pt>
                <c:pt idx="274" c:formatCode="dd\-mmm\-yy">
                  <c:v>45509</c:v>
                </c:pt>
                <c:pt idx="275" c:formatCode="dd\-mmm\-yy">
                  <c:v>45510</c:v>
                </c:pt>
                <c:pt idx="276" c:formatCode="dd\-mmm\-yy">
                  <c:v>45511</c:v>
                </c:pt>
                <c:pt idx="277" c:formatCode="dd\-mmm\-yy">
                  <c:v>45512</c:v>
                </c:pt>
                <c:pt idx="278" c:formatCode="dd\-mmm\-yy">
                  <c:v>45513</c:v>
                </c:pt>
                <c:pt idx="279" c:formatCode="dd\-mmm\-yy">
                  <c:v>45516</c:v>
                </c:pt>
                <c:pt idx="280" c:formatCode="dd\-mmm\-yy">
                  <c:v>45517</c:v>
                </c:pt>
                <c:pt idx="281" c:formatCode="dd\-mmm\-yy">
                  <c:v>45518</c:v>
                </c:pt>
                <c:pt idx="282" c:formatCode="dd\-mmm\-yy">
                  <c:v>45519</c:v>
                </c:pt>
                <c:pt idx="283" c:formatCode="dd\-mmm\-yy">
                  <c:v>45520</c:v>
                </c:pt>
                <c:pt idx="284" c:formatCode="dd\-mmm\-yy">
                  <c:v>45523</c:v>
                </c:pt>
                <c:pt idx="285" c:formatCode="dd\-mmm\-yy">
                  <c:v>45524</c:v>
                </c:pt>
                <c:pt idx="286" c:formatCode="dd\-mmm\-yy">
                  <c:v>45525</c:v>
                </c:pt>
                <c:pt idx="287" c:formatCode="dd\-mmm\-yy">
                  <c:v>45526</c:v>
                </c:pt>
                <c:pt idx="288" c:formatCode="dd\-mmm\-yy">
                  <c:v>45527</c:v>
                </c:pt>
                <c:pt idx="289" c:formatCode="dd\-mmm\-yy">
                  <c:v>45530</c:v>
                </c:pt>
                <c:pt idx="290" c:formatCode="dd\-mmm\-yy">
                  <c:v>45531</c:v>
                </c:pt>
                <c:pt idx="291" c:formatCode="dd\-mmm\-yy">
                  <c:v>45532</c:v>
                </c:pt>
                <c:pt idx="292" c:formatCode="dd\-mmm\-yy">
                  <c:v>45533</c:v>
                </c:pt>
                <c:pt idx="293" c:formatCode="dd\-mmm\-yy">
                  <c:v>45534</c:v>
                </c:pt>
                <c:pt idx="294" c:formatCode="dd\-mmm\-yy">
                  <c:v>45538</c:v>
                </c:pt>
                <c:pt idx="295" c:formatCode="dd\-mmm\-yy">
                  <c:v>45539</c:v>
                </c:pt>
                <c:pt idx="296" c:formatCode="dd\-mmm\-yy">
                  <c:v>45540</c:v>
                </c:pt>
                <c:pt idx="297" c:formatCode="dd\-mmm\-yy">
                  <c:v>45541</c:v>
                </c:pt>
                <c:pt idx="298" c:formatCode="dd\-mmm\-yy">
                  <c:v>45544</c:v>
                </c:pt>
                <c:pt idx="299" c:formatCode="dd\-mmm\-yy">
                  <c:v>45545</c:v>
                </c:pt>
                <c:pt idx="300" c:formatCode="dd\-mmm\-yy">
                  <c:v>45546</c:v>
                </c:pt>
                <c:pt idx="301" c:formatCode="dd\-mmm\-yy">
                  <c:v>45547</c:v>
                </c:pt>
                <c:pt idx="302" c:formatCode="dd\-mmm\-yy">
                  <c:v>45548</c:v>
                </c:pt>
                <c:pt idx="303" c:formatCode="dd\-mmm\-yy">
                  <c:v>45551</c:v>
                </c:pt>
                <c:pt idx="304" c:formatCode="dd\-mmm\-yy">
                  <c:v>45552</c:v>
                </c:pt>
                <c:pt idx="305" c:formatCode="dd\-mmm\-yy">
                  <c:v>45553</c:v>
                </c:pt>
                <c:pt idx="306" c:formatCode="dd\-mmm\-yy">
                  <c:v>45554</c:v>
                </c:pt>
                <c:pt idx="307" c:formatCode="dd\-mmm\-yy">
                  <c:v>45555</c:v>
                </c:pt>
                <c:pt idx="308" c:formatCode="dd\-mmm\-yy">
                  <c:v>45558</c:v>
                </c:pt>
                <c:pt idx="309" c:formatCode="dd\-mmm\-yy">
                  <c:v>45559</c:v>
                </c:pt>
                <c:pt idx="310" c:formatCode="dd\-mmm\-yy">
                  <c:v>45560</c:v>
                </c:pt>
                <c:pt idx="311" c:formatCode="dd\-mmm\-yy">
                  <c:v>45561</c:v>
                </c:pt>
                <c:pt idx="312" c:formatCode="dd\-mmm\-yy">
                  <c:v>45562</c:v>
                </c:pt>
                <c:pt idx="313" c:formatCode="dd\-mmm\-yy">
                  <c:v>45565</c:v>
                </c:pt>
                <c:pt idx="314" c:formatCode="dd\-mmm\-yy">
                  <c:v>45566</c:v>
                </c:pt>
                <c:pt idx="315" c:formatCode="dd\-mmm\-yy">
                  <c:v>45567</c:v>
                </c:pt>
                <c:pt idx="316" c:formatCode="dd\-mmm\-yy">
                  <c:v>45568</c:v>
                </c:pt>
                <c:pt idx="317" c:formatCode="dd\-mmm\-yy">
                  <c:v>45569</c:v>
                </c:pt>
                <c:pt idx="318" c:formatCode="dd\-mmm\-yy">
                  <c:v>45572</c:v>
                </c:pt>
                <c:pt idx="319" c:formatCode="dd\-mmm\-yy">
                  <c:v>45573</c:v>
                </c:pt>
                <c:pt idx="320" c:formatCode="dd\-mmm\-yy">
                  <c:v>45574</c:v>
                </c:pt>
                <c:pt idx="321" c:formatCode="dd\-mmm\-yy">
                  <c:v>45575</c:v>
                </c:pt>
                <c:pt idx="322" c:formatCode="dd\-mmm\-yy">
                  <c:v>45576</c:v>
                </c:pt>
                <c:pt idx="323" c:formatCode="dd\-mmm\-yy">
                  <c:v>45579</c:v>
                </c:pt>
                <c:pt idx="324" c:formatCode="dd\-mmm\-yy">
                  <c:v>45580</c:v>
                </c:pt>
                <c:pt idx="325" c:formatCode="dd\-mmm\-yy">
                  <c:v>45581</c:v>
                </c:pt>
                <c:pt idx="326" c:formatCode="dd\-mmm\-yy">
                  <c:v>45582</c:v>
                </c:pt>
                <c:pt idx="327" c:formatCode="dd\-mmm\-yy">
                  <c:v>45583</c:v>
                </c:pt>
                <c:pt idx="328" c:formatCode="dd\-mmm\-yy">
                  <c:v>45586</c:v>
                </c:pt>
                <c:pt idx="329" c:formatCode="dd\-mmm\-yy">
                  <c:v>45587</c:v>
                </c:pt>
                <c:pt idx="330" c:formatCode="dd\-mmm\-yy">
                  <c:v>45588</c:v>
                </c:pt>
                <c:pt idx="331" c:formatCode="dd\-mmm\-yy">
                  <c:v>45589</c:v>
                </c:pt>
                <c:pt idx="332" c:formatCode="dd\-mmm\-yy">
                  <c:v>45590</c:v>
                </c:pt>
                <c:pt idx="333" c:formatCode="dd\-mmm\-yy">
                  <c:v>45593</c:v>
                </c:pt>
                <c:pt idx="334" c:formatCode="dd\-mmm\-yy">
                  <c:v>45594</c:v>
                </c:pt>
                <c:pt idx="335" c:formatCode="dd\-mmm\-yy">
                  <c:v>45595</c:v>
                </c:pt>
                <c:pt idx="336" c:formatCode="dd\-mmm\-yy">
                  <c:v>45596</c:v>
                </c:pt>
                <c:pt idx="337" c:formatCode="dd\-mmm\-yy">
                  <c:v>45597</c:v>
                </c:pt>
                <c:pt idx="338" c:formatCode="dd\-mmm\-yy">
                  <c:v>45600</c:v>
                </c:pt>
                <c:pt idx="339" c:formatCode="dd\-mmm\-yy">
                  <c:v>45601</c:v>
                </c:pt>
                <c:pt idx="340" c:formatCode="dd\-mmm\-yy">
                  <c:v>45602</c:v>
                </c:pt>
                <c:pt idx="341" c:formatCode="dd\-mmm\-yy">
                  <c:v>45603</c:v>
                </c:pt>
                <c:pt idx="342" c:formatCode="dd\-mmm\-yy">
                  <c:v>45604</c:v>
                </c:pt>
                <c:pt idx="343" c:formatCode="dd\-mmm\-yy">
                  <c:v>45607</c:v>
                </c:pt>
                <c:pt idx="344" c:formatCode="dd\-mmm\-yy">
                  <c:v>45608</c:v>
                </c:pt>
                <c:pt idx="345" c:formatCode="dd\-mmm\-yy">
                  <c:v>45609</c:v>
                </c:pt>
                <c:pt idx="346" c:formatCode="dd\-mmm\-yy">
                  <c:v>45610</c:v>
                </c:pt>
                <c:pt idx="347" c:formatCode="dd\-mmm\-yy">
                  <c:v>45611</c:v>
                </c:pt>
                <c:pt idx="348" c:formatCode="dd\-mmm\-yy">
                  <c:v>45614</c:v>
                </c:pt>
                <c:pt idx="349" c:formatCode="dd\-mmm\-yy">
                  <c:v>45615</c:v>
                </c:pt>
                <c:pt idx="350" c:formatCode="dd\-mmm\-yy">
                  <c:v>45616</c:v>
                </c:pt>
                <c:pt idx="351" c:formatCode="dd\-mmm\-yy">
                  <c:v>45617</c:v>
                </c:pt>
                <c:pt idx="352" c:formatCode="dd\-mmm\-yy">
                  <c:v>45618</c:v>
                </c:pt>
                <c:pt idx="353" c:formatCode="dd\-mmm\-yy">
                  <c:v>45621</c:v>
                </c:pt>
                <c:pt idx="354" c:formatCode="dd\-mmm\-yy">
                  <c:v>45622</c:v>
                </c:pt>
                <c:pt idx="355" c:formatCode="dd\-mmm\-yy">
                  <c:v>45623</c:v>
                </c:pt>
                <c:pt idx="356" c:formatCode="dd\-mmm\-yy">
                  <c:v>45625</c:v>
                </c:pt>
                <c:pt idx="357" c:formatCode="dd\-mmm\-yy">
                  <c:v>45628</c:v>
                </c:pt>
                <c:pt idx="358" c:formatCode="dd\-mmm\-yy">
                  <c:v>45629</c:v>
                </c:pt>
                <c:pt idx="359" c:formatCode="dd\-mmm\-yy">
                  <c:v>45630</c:v>
                </c:pt>
                <c:pt idx="360" c:formatCode="dd\-mmm\-yy">
                  <c:v>45631</c:v>
                </c:pt>
                <c:pt idx="361" c:formatCode="dd\-mmm\-yy">
                  <c:v>45632</c:v>
                </c:pt>
                <c:pt idx="362" c:formatCode="dd\-mmm\-yy">
                  <c:v>45635</c:v>
                </c:pt>
                <c:pt idx="363" c:formatCode="dd\-mmm\-yy">
                  <c:v>45636</c:v>
                </c:pt>
                <c:pt idx="364" c:formatCode="dd\-mmm\-yy">
                  <c:v>45637</c:v>
                </c:pt>
                <c:pt idx="365" c:formatCode="dd\-mmm\-yy">
                  <c:v>45638</c:v>
                </c:pt>
                <c:pt idx="366" c:formatCode="dd\-mmm\-yy">
                  <c:v>45639</c:v>
                </c:pt>
                <c:pt idx="367" c:formatCode="dd\-mmm\-yy">
                  <c:v>45642</c:v>
                </c:pt>
                <c:pt idx="368" c:formatCode="dd\-mmm\-yy">
                  <c:v>45643</c:v>
                </c:pt>
                <c:pt idx="369" c:formatCode="dd\-mmm\-yy">
                  <c:v>45644</c:v>
                </c:pt>
                <c:pt idx="370" c:formatCode="dd\-mmm\-yy">
                  <c:v>45645</c:v>
                </c:pt>
                <c:pt idx="371" c:formatCode="dd\-mmm\-yy">
                  <c:v>45646</c:v>
                </c:pt>
                <c:pt idx="372" c:formatCode="dd\-mmm\-yy">
                  <c:v>45649</c:v>
                </c:pt>
                <c:pt idx="373" c:formatCode="dd\-mmm\-yy">
                  <c:v>45650</c:v>
                </c:pt>
                <c:pt idx="374" c:formatCode="dd\-mmm\-yy">
                  <c:v>45652</c:v>
                </c:pt>
                <c:pt idx="375" c:formatCode="dd\-mmm\-yy">
                  <c:v>45653</c:v>
                </c:pt>
                <c:pt idx="376" c:formatCode="dd\-mmm\-yy">
                  <c:v>45656</c:v>
                </c:pt>
                <c:pt idx="377" c:formatCode="dd\-mmm\-yy">
                  <c:v>45657</c:v>
                </c:pt>
                <c:pt idx="378" c:formatCode="dd\-mmm\-yy">
                  <c:v>45659</c:v>
                </c:pt>
                <c:pt idx="379" c:formatCode="dd\-mmm\-yy">
                  <c:v>45660</c:v>
                </c:pt>
                <c:pt idx="380" c:formatCode="dd\-mmm\-yy">
                  <c:v>45663</c:v>
                </c:pt>
                <c:pt idx="381" c:formatCode="dd\-mmm\-yy">
                  <c:v>45664</c:v>
                </c:pt>
                <c:pt idx="382" c:formatCode="dd\-mmm\-yy">
                  <c:v>45665</c:v>
                </c:pt>
                <c:pt idx="383" c:formatCode="dd\-mmm\-yy">
                  <c:v>45667</c:v>
                </c:pt>
                <c:pt idx="384" c:formatCode="dd\-mmm\-yy">
                  <c:v>45670</c:v>
                </c:pt>
                <c:pt idx="385" c:formatCode="dd\-mmm\-yy">
                  <c:v>45671</c:v>
                </c:pt>
                <c:pt idx="386" c:formatCode="dd\-mmm\-yy">
                  <c:v>45672</c:v>
                </c:pt>
                <c:pt idx="387" c:formatCode="dd\-mmm\-yy">
                  <c:v>45673</c:v>
                </c:pt>
                <c:pt idx="388" c:formatCode="dd\-mmm\-yy">
                  <c:v>45674</c:v>
                </c:pt>
                <c:pt idx="389" c:formatCode="dd\-mmm\-yy">
                  <c:v>45678</c:v>
                </c:pt>
                <c:pt idx="390" c:formatCode="dd\-mmm\-yy">
                  <c:v>45679</c:v>
                </c:pt>
                <c:pt idx="391" c:formatCode="dd\-mmm\-yy">
                  <c:v>45680</c:v>
                </c:pt>
                <c:pt idx="392" c:formatCode="dd\-mmm\-yy">
                  <c:v>45681</c:v>
                </c:pt>
                <c:pt idx="393" c:formatCode="dd\-mmm\-yy">
                  <c:v>45684</c:v>
                </c:pt>
                <c:pt idx="394" c:formatCode="dd\-mmm\-yy">
                  <c:v>45685</c:v>
                </c:pt>
                <c:pt idx="395" c:formatCode="dd\-mmm\-yy">
                  <c:v>45686</c:v>
                </c:pt>
                <c:pt idx="396" c:formatCode="dd\-mmm\-yy">
                  <c:v>45687</c:v>
                </c:pt>
                <c:pt idx="397" c:formatCode="dd\-mmm\-yy">
                  <c:v>45688</c:v>
                </c:pt>
                <c:pt idx="398" c:formatCode="dd\-mmm\-yy">
                  <c:v>45691</c:v>
                </c:pt>
                <c:pt idx="399" c:formatCode="dd\-mmm\-yy">
                  <c:v>45692</c:v>
                </c:pt>
                <c:pt idx="400" c:formatCode="dd\-mmm\-yy">
                  <c:v>45693</c:v>
                </c:pt>
                <c:pt idx="401" c:formatCode="dd\-mmm\-yy">
                  <c:v>45694</c:v>
                </c:pt>
                <c:pt idx="402" c:formatCode="dd\-mmm\-yy">
                  <c:v>45695</c:v>
                </c:pt>
                <c:pt idx="403" c:formatCode="dd\-mmm\-yy">
                  <c:v>45698</c:v>
                </c:pt>
                <c:pt idx="404" c:formatCode="dd\-mmm\-yy">
                  <c:v>45699</c:v>
                </c:pt>
                <c:pt idx="405" c:formatCode="dd\-mmm\-yy">
                  <c:v>45700</c:v>
                </c:pt>
                <c:pt idx="406" c:formatCode="dd\-mmm\-yy">
                  <c:v>45701</c:v>
                </c:pt>
                <c:pt idx="407" c:formatCode="dd\-mmm\-yy">
                  <c:v>45702</c:v>
                </c:pt>
                <c:pt idx="408" c:formatCode="dd\-mmm\-yy">
                  <c:v>45706</c:v>
                </c:pt>
                <c:pt idx="409" c:formatCode="dd\-mmm\-yy">
                  <c:v>45707</c:v>
                </c:pt>
                <c:pt idx="410" c:formatCode="dd\-mmm\-yy">
                  <c:v>45708</c:v>
                </c:pt>
                <c:pt idx="411" c:formatCode="dd\-mmm\-yy">
                  <c:v>45709</c:v>
                </c:pt>
                <c:pt idx="412" c:formatCode="dd\-mmm\-yy">
                  <c:v>45712</c:v>
                </c:pt>
                <c:pt idx="413" c:formatCode="dd\-mmm\-yy">
                  <c:v>45713</c:v>
                </c:pt>
                <c:pt idx="414" c:formatCode="dd\-mmm\-yy">
                  <c:v>45714</c:v>
                </c:pt>
                <c:pt idx="415" c:formatCode="dd\-mmm\-yy">
                  <c:v>45715</c:v>
                </c:pt>
                <c:pt idx="416" c:formatCode="dd\-mmm\-yy">
                  <c:v>45716</c:v>
                </c:pt>
                <c:pt idx="417" c:formatCode="dd\-mmm\-yy">
                  <c:v>45719</c:v>
                </c:pt>
                <c:pt idx="418" c:formatCode="dd\-mmm\-yy">
                  <c:v>45720</c:v>
                </c:pt>
                <c:pt idx="419" c:formatCode="dd\-mmm\-yy">
                  <c:v>45721</c:v>
                </c:pt>
                <c:pt idx="420" c:formatCode="dd\-mmm\-yy">
                  <c:v>45722</c:v>
                </c:pt>
                <c:pt idx="421" c:formatCode="dd\-mmm\-yy">
                  <c:v>45723</c:v>
                </c:pt>
                <c:pt idx="422" c:formatCode="dd\-mmm\-yy">
                  <c:v>45726</c:v>
                </c:pt>
                <c:pt idx="423" c:formatCode="dd\-mmm\-yy">
                  <c:v>45727</c:v>
                </c:pt>
                <c:pt idx="424" c:formatCode="dd\-mmm\-yy">
                  <c:v>45728</c:v>
                </c:pt>
                <c:pt idx="425" c:formatCode="dd\-mmm\-yy">
                  <c:v>45729</c:v>
                </c:pt>
                <c:pt idx="426" c:formatCode="dd\-mmm\-yy">
                  <c:v>45730</c:v>
                </c:pt>
                <c:pt idx="427" c:formatCode="dd\-mmm\-yy">
                  <c:v>45733</c:v>
                </c:pt>
                <c:pt idx="428" c:formatCode="dd\-mmm\-yy">
                  <c:v>45734</c:v>
                </c:pt>
                <c:pt idx="429" c:formatCode="dd\-mmm\-yy">
                  <c:v>45735</c:v>
                </c:pt>
                <c:pt idx="430" c:formatCode="dd\-mmm\-yy">
                  <c:v>45736</c:v>
                </c:pt>
                <c:pt idx="431" c:formatCode="dd\-mmm\-yy">
                  <c:v>45737</c:v>
                </c:pt>
                <c:pt idx="432" c:formatCode="dd\-mmm\-yy">
                  <c:v>45740</c:v>
                </c:pt>
                <c:pt idx="433" c:formatCode="dd\-mmm\-yy">
                  <c:v>45741</c:v>
                </c:pt>
                <c:pt idx="434" c:formatCode="dd\-mmm\-yy">
                  <c:v>45742</c:v>
                </c:pt>
                <c:pt idx="435" c:formatCode="dd\-mmm\-yy">
                  <c:v>45743</c:v>
                </c:pt>
                <c:pt idx="436" c:formatCode="dd\-mmm\-yy">
                  <c:v>45744</c:v>
                </c:pt>
                <c:pt idx="437" c:formatCode="dd\-mmm\-yy">
                  <c:v>45747</c:v>
                </c:pt>
                <c:pt idx="438" c:formatCode="dd\-mmm\-yy">
                  <c:v>45748</c:v>
                </c:pt>
                <c:pt idx="439" c:formatCode="dd\-mmm\-yy">
                  <c:v>45749</c:v>
                </c:pt>
                <c:pt idx="440" c:formatCode="dd\-mmm\-yy">
                  <c:v>45750</c:v>
                </c:pt>
                <c:pt idx="441" c:formatCode="dd\-mmm\-yy">
                  <c:v>45751</c:v>
                </c:pt>
                <c:pt idx="442" c:formatCode="dd\-mmm\-yy">
                  <c:v>45754</c:v>
                </c:pt>
                <c:pt idx="443" c:formatCode="dd\-mmm\-yy">
                  <c:v>45755</c:v>
                </c:pt>
                <c:pt idx="444" c:formatCode="dd\-mmm\-yy">
                  <c:v>45756</c:v>
                </c:pt>
                <c:pt idx="445" c:formatCode="dd\-mmm\-yy">
                  <c:v>45757</c:v>
                </c:pt>
                <c:pt idx="446" c:formatCode="dd\-mmm\-yy">
                  <c:v>45758</c:v>
                </c:pt>
                <c:pt idx="447" c:formatCode="dd\-mmm\-yy">
                  <c:v>45761</c:v>
                </c:pt>
                <c:pt idx="448" c:formatCode="dd\-mmm\-yy">
                  <c:v>45762</c:v>
                </c:pt>
                <c:pt idx="449" c:formatCode="dd\-mmm\-yy">
                  <c:v>45763</c:v>
                </c:pt>
                <c:pt idx="450" c:formatCode="dd\-mmm\-yy">
                  <c:v>45764</c:v>
                </c:pt>
                <c:pt idx="451" c:formatCode="dd\-mmm\-yy">
                  <c:v>45768</c:v>
                </c:pt>
                <c:pt idx="452" c:formatCode="dd\-mmm\-yy">
                  <c:v>45769</c:v>
                </c:pt>
                <c:pt idx="453" c:formatCode="dd\-mmm\-yy">
                  <c:v>45770</c:v>
                </c:pt>
                <c:pt idx="454" c:formatCode="dd\-mmm\-yy">
                  <c:v>45771</c:v>
                </c:pt>
                <c:pt idx="455" c:formatCode="dd\-mmm\-yy">
                  <c:v>45772</c:v>
                </c:pt>
                <c:pt idx="456" c:formatCode="dd\-mmm\-yy">
                  <c:v>45775</c:v>
                </c:pt>
                <c:pt idx="457" c:formatCode="dd\-mmm\-yy">
                  <c:v>45776</c:v>
                </c:pt>
                <c:pt idx="458" c:formatCode="dd\-mmm\-yy">
                  <c:v>45777</c:v>
                </c:pt>
                <c:pt idx="459" c:formatCode="dd\-mmm\-yy">
                  <c:v>45778</c:v>
                </c:pt>
                <c:pt idx="460" c:formatCode="dd\-mmm\-yy">
                  <c:v>45779</c:v>
                </c:pt>
                <c:pt idx="461" c:formatCode="dd\-mmm\-yy">
                  <c:v>45782</c:v>
                </c:pt>
                <c:pt idx="462" c:formatCode="dd\-mmm\-yy">
                  <c:v>45783</c:v>
                </c:pt>
                <c:pt idx="463" c:formatCode="dd\-mmm\-yy">
                  <c:v>45784</c:v>
                </c:pt>
                <c:pt idx="464" c:formatCode="dd\-mmm\-yy">
                  <c:v>45785</c:v>
                </c:pt>
                <c:pt idx="465" c:formatCode="dd\-mmm\-yy">
                  <c:v>45786</c:v>
                </c:pt>
                <c:pt idx="466" c:formatCode="dd\-mmm\-yy">
                  <c:v>45789</c:v>
                </c:pt>
                <c:pt idx="467" c:formatCode="dd\-mmm\-yy">
                  <c:v>45790</c:v>
                </c:pt>
                <c:pt idx="468" c:formatCode="dd\-mmm\-yy">
                  <c:v>45791</c:v>
                </c:pt>
                <c:pt idx="469" c:formatCode="dd\-mmm\-yy">
                  <c:v>45792</c:v>
                </c:pt>
                <c:pt idx="470" c:formatCode="dd\-mmm\-yy">
                  <c:v>45793</c:v>
                </c:pt>
                <c:pt idx="471" c:formatCode="dd\-mmm\-yy">
                  <c:v>45796</c:v>
                </c:pt>
                <c:pt idx="472" c:formatCode="dd\-mmm\-yy">
                  <c:v>45797</c:v>
                </c:pt>
                <c:pt idx="473" c:formatCode="dd\-mmm\-yy">
                  <c:v>45798</c:v>
                </c:pt>
                <c:pt idx="474" c:formatCode="dd\-mmm\-yy">
                  <c:v>45799</c:v>
                </c:pt>
                <c:pt idx="475" c:formatCode="dd\-mmm\-yy">
                  <c:v>45800</c:v>
                </c:pt>
                <c:pt idx="476" c:formatCode="dd\-mmm\-yy">
                  <c:v>45804</c:v>
                </c:pt>
                <c:pt idx="477" c:formatCode="dd\-mmm\-yy">
                  <c:v>45805</c:v>
                </c:pt>
                <c:pt idx="478" c:formatCode="dd\-mmm\-yy">
                  <c:v>45806</c:v>
                </c:pt>
                <c:pt idx="479" c:formatCode="dd\-mmm\-yy">
                  <c:v>45807</c:v>
                </c:pt>
                <c:pt idx="480" c:formatCode="dd\-mmm\-yy">
                  <c:v>45810</c:v>
                </c:pt>
                <c:pt idx="481" c:formatCode="dd\-mmm\-yy">
                  <c:v>45811</c:v>
                </c:pt>
                <c:pt idx="482" c:formatCode="dd\-mmm\-yy">
                  <c:v>45812</c:v>
                </c:pt>
                <c:pt idx="483" c:formatCode="dd\-mmm\-yy">
                  <c:v>45813</c:v>
                </c:pt>
                <c:pt idx="484" c:formatCode="dd\-mmm\-yy">
                  <c:v>45814</c:v>
                </c:pt>
                <c:pt idx="485" c:formatCode="dd\-mmm\-yy">
                  <c:v>45817</c:v>
                </c:pt>
                <c:pt idx="486" c:formatCode="dd\-mmm\-yy">
                  <c:v>45818</c:v>
                </c:pt>
                <c:pt idx="487" c:formatCode="dd\-mmm\-yy">
                  <c:v>45819</c:v>
                </c:pt>
                <c:pt idx="488" c:formatCode="dd\-mmm\-yy">
                  <c:v>45820</c:v>
                </c:pt>
                <c:pt idx="489" c:formatCode="dd\-mmm\-yy">
                  <c:v>45821</c:v>
                </c:pt>
                <c:pt idx="490" c:formatCode="dd\-mmm\-yy">
                  <c:v>45813</c:v>
                </c:pt>
                <c:pt idx="491" c:formatCode="dd\-mmm\-yy">
                  <c:v>45814</c:v>
                </c:pt>
                <c:pt idx="492" c:formatCode="dd\-mmm\-yy">
                  <c:v>45817</c:v>
                </c:pt>
                <c:pt idx="493" c:formatCode="dd\-mmm\-yy">
                  <c:v>45818</c:v>
                </c:pt>
                <c:pt idx="494" c:formatCode="dd\-mmm\-yy">
                  <c:v>45819</c:v>
                </c:pt>
                <c:pt idx="495" c:formatCode="dd\-mmm\-yy">
                  <c:v>45820</c:v>
                </c:pt>
                <c:pt idx="496" c:formatCode="dd\-mmm\-yy">
                  <c:v>45821</c:v>
                </c:pt>
                <c:pt idx="497" c:formatCode="dd\-mmm\-yy">
                  <c:v>45824</c:v>
                </c:pt>
                <c:pt idx="498" c:formatCode="dd\-mmm\-yy">
                  <c:v>45825</c:v>
                </c:pt>
                <c:pt idx="499" c:formatCode="dd\-mmm\-yy">
                  <c:v>45826</c:v>
                </c:pt>
                <c:pt idx="500" c:formatCode="dd\-mmm\-yy">
                  <c:v>45828</c:v>
                </c:pt>
                <c:pt idx="501" c:formatCode="dd\-mmm\-yy">
                  <c:v>45831</c:v>
                </c:pt>
                <c:pt idx="502" c:formatCode="dd\-mmm\-yy">
                  <c:v>45832</c:v>
                </c:pt>
                <c:pt idx="503" c:formatCode="dd\-mmm\-yy">
                  <c:v>45833</c:v>
                </c:pt>
                <c:pt idx="504" c:formatCode="dd\-mmm\-yy">
                  <c:v>45834</c:v>
                </c:pt>
                <c:pt idx="505" c:formatCode="dd\-mmm\-yy">
                  <c:v>45835</c:v>
                </c:pt>
                <c:pt idx="506" c:formatCode="dd\-mmm\-yy">
                  <c:v>45838</c:v>
                </c:pt>
                <c:pt idx="507" c:formatCode="d\-mmm\-yy">
                  <c:v>45839</c:v>
                </c:pt>
                <c:pt idx="508" c:formatCode="d\-mmm\-yy">
                  <c:v>45840</c:v>
                </c:pt>
                <c:pt idx="509" c:formatCode="d\-mmm\-yy">
                  <c:v>45841</c:v>
                </c:pt>
                <c:pt idx="510" c:formatCode="d\-mmm\-yy">
                  <c:v>45845</c:v>
                </c:pt>
                <c:pt idx="511" c:formatCode="d\-mmm\-yy">
                  <c:v>45846</c:v>
                </c:pt>
                <c:pt idx="512" c:formatCode="d\-mmm\-yy">
                  <c:v>45847</c:v>
                </c:pt>
                <c:pt idx="513" c:formatCode="d\-mmm\-yy">
                  <c:v>45848</c:v>
                </c:pt>
                <c:pt idx="514" c:formatCode="d\-mmm\-yy">
                  <c:v>45849</c:v>
                </c:pt>
                <c:pt idx="515" c:formatCode="d\-mmm\-yy">
                  <c:v>45852</c:v>
                </c:pt>
                <c:pt idx="516" c:formatCode="d\-mmm\-yy">
                  <c:v>45853</c:v>
                </c:pt>
                <c:pt idx="517" c:formatCode="d\-mmm\-yy">
                  <c:v>45854</c:v>
                </c:pt>
                <c:pt idx="518" c:formatCode="d\-mmm\-yy">
                  <c:v>45855</c:v>
                </c:pt>
                <c:pt idx="519" c:formatCode="d\-mmm\-yy">
                  <c:v>45856</c:v>
                </c:pt>
                <c:pt idx="520" c:formatCode="d\-mmm\-yy">
                  <c:v>45859</c:v>
                </c:pt>
                <c:pt idx="521" c:formatCode="d\-mmm\-yy">
                  <c:v>45860</c:v>
                </c:pt>
                <c:pt idx="522" c:formatCode="d\-mmm\-yy">
                  <c:v>45861</c:v>
                </c:pt>
                <c:pt idx="523" c:formatCode="d\-mmm\-yy">
                  <c:v>45862</c:v>
                </c:pt>
                <c:pt idx="524" c:formatCode="d\-mmm\-yy">
                  <c:v>45863</c:v>
                </c:pt>
                <c:pt idx="525" c:formatCode="d\-mmm\-yy">
                  <c:v>45866</c:v>
                </c:pt>
                <c:pt idx="526" c:formatCode="d\-mmm\-yy">
                  <c:v>45867</c:v>
                </c:pt>
                <c:pt idx="527" c:formatCode="d\-mmm\-yy">
                  <c:v>45868</c:v>
                </c:pt>
                <c:pt idx="528" c:formatCode="d\-mmm\-yy">
                  <c:v>45869</c:v>
                </c:pt>
                <c:pt idx="529" c:formatCode="d\-mmm\-yy">
                  <c:v>45870</c:v>
                </c:pt>
                <c:pt idx="530" c:formatCode="d\-mmm\-yy">
                  <c:v>45873</c:v>
                </c:pt>
                <c:pt idx="531" c:formatCode="d\-mmm\-yy">
                  <c:v>45874</c:v>
                </c:pt>
                <c:pt idx="532" c:formatCode="d\-mmm\-yy">
                  <c:v>45875</c:v>
                </c:pt>
                <c:pt idx="533" c:formatCode="d\-mmm\-yy">
                  <c:v>45876</c:v>
                </c:pt>
                <c:pt idx="534" c:formatCode="d\-mmm\-yy">
                  <c:v>45877</c:v>
                </c:pt>
                <c:pt idx="535" c:formatCode="d\-mmm\-yy">
                  <c:v>45880</c:v>
                </c:pt>
                <c:pt idx="536" c:formatCode="d\-mmm\-yy">
                  <c:v>45881</c:v>
                </c:pt>
                <c:pt idx="537" c:formatCode="d\-mmm\-yy">
                  <c:v>45882</c:v>
                </c:pt>
                <c:pt idx="538" c:formatCode="d\-mmm\-yy">
                  <c:v>45883</c:v>
                </c:pt>
                <c:pt idx="539" c:formatCode="d\-mmm\-yy">
                  <c:v>45884</c:v>
                </c:pt>
                <c:pt idx="540" c:formatCode="d\-mmm\-yy">
                  <c:v>45887</c:v>
                </c:pt>
                <c:pt idx="541" c:formatCode="d\-mmm\-yy">
                  <c:v>45888</c:v>
                </c:pt>
                <c:pt idx="542" c:formatCode="d\-mmm\-yy">
                  <c:v>45889</c:v>
                </c:pt>
                <c:pt idx="543" c:formatCode="d\-mmm\-yy">
                  <c:v>45890</c:v>
                </c:pt>
                <c:pt idx="544" c:formatCode="d\-mmm\-yy">
                  <c:v>45891</c:v>
                </c:pt>
                <c:pt idx="545" c:formatCode="d\-mmm\-yy">
                  <c:v>45894</c:v>
                </c:pt>
                <c:pt idx="546" c:formatCode="d\-mmm\-yy">
                  <c:v>45895</c:v>
                </c:pt>
                <c:pt idx="547" c:formatCode="d\-mmm\-yy">
                  <c:v>45896</c:v>
                </c:pt>
                <c:pt idx="548" c:formatCode="d\-mmm\-yy">
                  <c:v>45897</c:v>
                </c:pt>
                <c:pt idx="549" c:formatCode="d\-mmm\-yy">
                  <c:v>45898</c:v>
                </c:pt>
                <c:pt idx="550" c:formatCode="d\-mmm\-yy">
                  <c:v>45902</c:v>
                </c:pt>
                <c:pt idx="551" c:formatCode="d\-mmm\-yy">
                  <c:v>45903</c:v>
                </c:pt>
                <c:pt idx="552" c:formatCode="d\-mmm\-yy">
                  <c:v>45904</c:v>
                </c:pt>
                <c:pt idx="553" c:formatCode="d\-mmm\-yy">
                  <c:v>45905</c:v>
                </c:pt>
                <c:pt idx="554" c:formatCode="d\-mmm\-yy">
                  <c:v>45908</c:v>
                </c:pt>
                <c:pt idx="555" c:formatCode="d\-mmm\-yy">
                  <c:v>45909</c:v>
                </c:pt>
                <c:pt idx="556" c:formatCode="d\-mmm\-yy">
                  <c:v>45910</c:v>
                </c:pt>
                <c:pt idx="557" c:formatCode="d\-mmm\-yy">
                  <c:v>45911</c:v>
                </c:pt>
                <c:pt idx="558" c:formatCode="d\-mmm\-yy">
                  <c:v>45912</c:v>
                </c:pt>
                <c:pt idx="559" c:formatCode="d\-mmm\-yy">
                  <c:v>45915</c:v>
                </c:pt>
                <c:pt idx="560" c:formatCode="d\-mmm\-yy">
                  <c:v>45916</c:v>
                </c:pt>
                <c:pt idx="561" c:formatCode="d\-mmm\-yy">
                  <c:v>45917</c:v>
                </c:pt>
                <c:pt idx="562" c:formatCode="d\-mmm\-yy">
                  <c:v>45918</c:v>
                </c:pt>
                <c:pt idx="563" c:formatCode="d\-mmm\-yy">
                  <c:v>45919</c:v>
                </c:pt>
                <c:pt idx="564" c:formatCode="d\-mmm\-yy">
                  <c:v>45922</c:v>
                </c:pt>
                <c:pt idx="565" c:formatCode="d\-mmm\-yy">
                  <c:v>45923</c:v>
                </c:pt>
                <c:pt idx="566" c:formatCode="d\-mmm\-yy">
                  <c:v>45924</c:v>
                </c:pt>
              </c:numCache>
            </c:numRef>
          </c:cat>
          <c:val>
            <c:numRef>
              <c:f>'[2-费城半导体指数历史数据.xlsx]费城半导体指数历史数据'!$B$42:$B$608</c:f>
              <c:numCache>
                <c:formatCode>#,##0.00</c:formatCode>
                <c:ptCount val="567"/>
                <c:pt idx="0">
                  <c:v>3453.2</c:v>
                </c:pt>
                <c:pt idx="1">
                  <c:v>3506.7</c:v>
                </c:pt>
                <c:pt idx="2">
                  <c:v>3501.4</c:v>
                </c:pt>
                <c:pt idx="3">
                  <c:v>3444.1</c:v>
                </c:pt>
                <c:pt idx="4">
                  <c:v>3488.3</c:v>
                </c:pt>
                <c:pt idx="5">
                  <c:v>3477.2</c:v>
                </c:pt>
                <c:pt idx="6">
                  <c:v>3514.3</c:v>
                </c:pt>
                <c:pt idx="7">
                  <c:v>3525</c:v>
                </c:pt>
                <c:pt idx="8">
                  <c:v>3641.7</c:v>
                </c:pt>
                <c:pt idx="9">
                  <c:v>3683.7</c:v>
                </c:pt>
                <c:pt idx="10">
                  <c:v>3739.7</c:v>
                </c:pt>
                <c:pt idx="11">
                  <c:v>3708.1</c:v>
                </c:pt>
                <c:pt idx="12">
                  <c:v>3673.1</c:v>
                </c:pt>
                <c:pt idx="13">
                  <c:v>3647.6</c:v>
                </c:pt>
                <c:pt idx="14">
                  <c:v>3549.7</c:v>
                </c:pt>
                <c:pt idx="15">
                  <c:v>3569.9</c:v>
                </c:pt>
                <c:pt idx="16">
                  <c:v>3506.7</c:v>
                </c:pt>
                <c:pt idx="17">
                  <c:v>3515.8</c:v>
                </c:pt>
                <c:pt idx="18">
                  <c:v>3642.4</c:v>
                </c:pt>
                <c:pt idx="19">
                  <c:v>3609.5</c:v>
                </c:pt>
                <c:pt idx="20">
                  <c:v>3614.2</c:v>
                </c:pt>
                <c:pt idx="21">
                  <c:v>3673.1</c:v>
                </c:pt>
                <c:pt idx="22">
                  <c:v>3703.6</c:v>
                </c:pt>
                <c:pt idx="23">
                  <c:v>3622.3</c:v>
                </c:pt>
                <c:pt idx="24">
                  <c:v>3577.5</c:v>
                </c:pt>
                <c:pt idx="25">
                  <c:v>3577.7</c:v>
                </c:pt>
                <c:pt idx="26">
                  <c:v>3651.6</c:v>
                </c:pt>
                <c:pt idx="27">
                  <c:v>3653.5</c:v>
                </c:pt>
                <c:pt idx="28">
                  <c:v>3721.5</c:v>
                </c:pt>
                <c:pt idx="29">
                  <c:v>3797.1</c:v>
                </c:pt>
                <c:pt idx="30">
                  <c:v>3750.4</c:v>
                </c:pt>
                <c:pt idx="31">
                  <c:v>3837.3</c:v>
                </c:pt>
                <c:pt idx="32">
                  <c:v>3842.4</c:v>
                </c:pt>
                <c:pt idx="33">
                  <c:v>3801.7</c:v>
                </c:pt>
                <c:pt idx="34">
                  <c:v>3663.8</c:v>
                </c:pt>
                <c:pt idx="35">
                  <c:v>3698.8</c:v>
                </c:pt>
                <c:pt idx="36">
                  <c:v>3692.3</c:v>
                </c:pt>
                <c:pt idx="37">
                  <c:v>3755.3</c:v>
                </c:pt>
                <c:pt idx="38">
                  <c:v>3699.4</c:v>
                </c:pt>
                <c:pt idx="39">
                  <c:v>3768.3</c:v>
                </c:pt>
                <c:pt idx="40">
                  <c:v>3851.8</c:v>
                </c:pt>
                <c:pt idx="41">
                  <c:v>3861.6</c:v>
                </c:pt>
                <c:pt idx="42">
                  <c:v>3858.2</c:v>
                </c:pt>
                <c:pt idx="43">
                  <c:v>3711.6</c:v>
                </c:pt>
                <c:pt idx="44">
                  <c:v>3708.1</c:v>
                </c:pt>
                <c:pt idx="45">
                  <c:v>3699.2</c:v>
                </c:pt>
                <c:pt idx="46">
                  <c:v>3739.4</c:v>
                </c:pt>
                <c:pt idx="47">
                  <c:v>3679.4</c:v>
                </c:pt>
                <c:pt idx="48">
                  <c:v>3610.5</c:v>
                </c:pt>
                <c:pt idx="49">
                  <c:v>3597</c:v>
                </c:pt>
                <c:pt idx="50">
                  <c:v>3514.5</c:v>
                </c:pt>
                <c:pt idx="51">
                  <c:v>3615.4</c:v>
                </c:pt>
                <c:pt idx="52">
                  <c:v>3554</c:v>
                </c:pt>
                <c:pt idx="53">
                  <c:v>3480.1</c:v>
                </c:pt>
                <c:pt idx="54">
                  <c:v>3446.4</c:v>
                </c:pt>
                <c:pt idx="55">
                  <c:v>3462.7</c:v>
                </c:pt>
                <c:pt idx="56">
                  <c:v>3560.7</c:v>
                </c:pt>
                <c:pt idx="57">
                  <c:v>3527.7</c:v>
                </c:pt>
                <c:pt idx="58">
                  <c:v>3602</c:v>
                </c:pt>
                <c:pt idx="59">
                  <c:v>3481.3</c:v>
                </c:pt>
                <c:pt idx="60">
                  <c:v>3495.6</c:v>
                </c:pt>
                <c:pt idx="61">
                  <c:v>3537.9</c:v>
                </c:pt>
                <c:pt idx="62">
                  <c:v>3629.6</c:v>
                </c:pt>
                <c:pt idx="63">
                  <c:v>3643.9</c:v>
                </c:pt>
                <c:pt idx="64">
                  <c:v>3670.9</c:v>
                </c:pt>
                <c:pt idx="65">
                  <c:v>3682.8</c:v>
                </c:pt>
                <c:pt idx="66">
                  <c:v>3683.8</c:v>
                </c:pt>
                <c:pt idx="67">
                  <c:v>3654.5</c:v>
                </c:pt>
                <c:pt idx="68">
                  <c:v>3582.1</c:v>
                </c:pt>
                <c:pt idx="69">
                  <c:v>3566</c:v>
                </c:pt>
                <c:pt idx="70">
                  <c:v>3569.2</c:v>
                </c:pt>
                <c:pt idx="71">
                  <c:v>3541.1</c:v>
                </c:pt>
                <c:pt idx="72">
                  <c:v>3560.5</c:v>
                </c:pt>
                <c:pt idx="73">
                  <c:v>3584.2</c:v>
                </c:pt>
                <c:pt idx="74">
                  <c:v>3476.4</c:v>
                </c:pt>
                <c:pt idx="75">
                  <c:v>3492.5</c:v>
                </c:pt>
                <c:pt idx="76">
                  <c:v>3459</c:v>
                </c:pt>
                <c:pt idx="77">
                  <c:v>3398.8</c:v>
                </c:pt>
                <c:pt idx="78">
                  <c:v>3338.9</c:v>
                </c:pt>
                <c:pt idx="79">
                  <c:v>3365.3</c:v>
                </c:pt>
                <c:pt idx="80">
                  <c:v>3389.5</c:v>
                </c:pt>
                <c:pt idx="81">
                  <c:v>3329.6</c:v>
                </c:pt>
                <c:pt idx="82">
                  <c:v>3361.4</c:v>
                </c:pt>
                <c:pt idx="83">
                  <c:v>3421</c:v>
                </c:pt>
                <c:pt idx="84">
                  <c:v>3434.3</c:v>
                </c:pt>
                <c:pt idx="85">
                  <c:v>3448.9</c:v>
                </c:pt>
                <c:pt idx="86">
                  <c:v>3376.6</c:v>
                </c:pt>
                <c:pt idx="87">
                  <c:v>3424.9</c:v>
                </c:pt>
                <c:pt idx="88">
                  <c:v>3407</c:v>
                </c:pt>
                <c:pt idx="89">
                  <c:v>3475.2</c:v>
                </c:pt>
                <c:pt idx="90">
                  <c:v>3467.4</c:v>
                </c:pt>
                <c:pt idx="91">
                  <c:v>3512.1</c:v>
                </c:pt>
                <c:pt idx="92">
                  <c:v>3537.8</c:v>
                </c:pt>
                <c:pt idx="93">
                  <c:v>3548.6</c:v>
                </c:pt>
                <c:pt idx="94">
                  <c:v>3453</c:v>
                </c:pt>
                <c:pt idx="95">
                  <c:v>3502.5</c:v>
                </c:pt>
                <c:pt idx="96">
                  <c:v>3474.7</c:v>
                </c:pt>
                <c:pt idx="97">
                  <c:v>3413.4</c:v>
                </c:pt>
                <c:pt idx="98">
                  <c:v>3367.8</c:v>
                </c:pt>
                <c:pt idx="99">
                  <c:v>3316.1</c:v>
                </c:pt>
                <c:pt idx="100">
                  <c:v>3298.5</c:v>
                </c:pt>
                <c:pt idx="101">
                  <c:v>3343.9</c:v>
                </c:pt>
                <c:pt idx="102">
                  <c:v>3205.8</c:v>
                </c:pt>
                <c:pt idx="103">
                  <c:v>3188.4</c:v>
                </c:pt>
                <c:pt idx="104">
                  <c:v>3227.1</c:v>
                </c:pt>
                <c:pt idx="105">
                  <c:v>3185.2</c:v>
                </c:pt>
                <c:pt idx="106">
                  <c:v>3215.9</c:v>
                </c:pt>
                <c:pt idx="107">
                  <c:v>3290.9</c:v>
                </c:pt>
                <c:pt idx="108">
                  <c:v>3368.5</c:v>
                </c:pt>
                <c:pt idx="109">
                  <c:v>3454.6</c:v>
                </c:pt>
                <c:pt idx="110">
                  <c:v>3444.9</c:v>
                </c:pt>
                <c:pt idx="111">
                  <c:v>3471.5</c:v>
                </c:pt>
                <c:pt idx="112">
                  <c:v>3472.7</c:v>
                </c:pt>
                <c:pt idx="113">
                  <c:v>3452.3</c:v>
                </c:pt>
                <c:pt idx="114">
                  <c:v>3591.7</c:v>
                </c:pt>
                <c:pt idx="115">
                  <c:v>3556.7</c:v>
                </c:pt>
                <c:pt idx="116">
                  <c:v>3685.6</c:v>
                </c:pt>
                <c:pt idx="117">
                  <c:v>3712.1</c:v>
                </c:pt>
                <c:pt idx="118">
                  <c:v>3724.1</c:v>
                </c:pt>
                <c:pt idx="119">
                  <c:v>3748.6</c:v>
                </c:pt>
                <c:pt idx="120">
                  <c:v>3805.8</c:v>
                </c:pt>
                <c:pt idx="121">
                  <c:v>3732.8</c:v>
                </c:pt>
                <c:pt idx="122">
                  <c:v>3745</c:v>
                </c:pt>
                <c:pt idx="123">
                  <c:v>3747.9</c:v>
                </c:pt>
                <c:pt idx="124">
                  <c:v>3739.3</c:v>
                </c:pt>
                <c:pt idx="125">
                  <c:v>3718.3</c:v>
                </c:pt>
                <c:pt idx="126">
                  <c:v>3753.4</c:v>
                </c:pt>
                <c:pt idx="127">
                  <c:v>3724.6</c:v>
                </c:pt>
                <c:pt idx="128">
                  <c:v>3738.3</c:v>
                </c:pt>
                <c:pt idx="129">
                  <c:v>3693.4</c:v>
                </c:pt>
                <c:pt idx="130">
                  <c:v>3672.4</c:v>
                </c:pt>
                <c:pt idx="131">
                  <c:v>3645.8</c:v>
                </c:pt>
                <c:pt idx="132">
                  <c:v>3747.5</c:v>
                </c:pt>
                <c:pt idx="133">
                  <c:v>3774.2</c:v>
                </c:pt>
                <c:pt idx="134">
                  <c:v>3902.4</c:v>
                </c:pt>
                <c:pt idx="135">
                  <c:v>3930.2</c:v>
                </c:pt>
                <c:pt idx="136">
                  <c:v>3991</c:v>
                </c:pt>
                <c:pt idx="137">
                  <c:v>4097.5</c:v>
                </c:pt>
                <c:pt idx="138">
                  <c:v>4117</c:v>
                </c:pt>
                <c:pt idx="139">
                  <c:v>4103.8</c:v>
                </c:pt>
                <c:pt idx="140">
                  <c:v>4125.6</c:v>
                </c:pt>
                <c:pt idx="141">
                  <c:v>4007.7</c:v>
                </c:pt>
                <c:pt idx="142">
                  <c:v>4118.6</c:v>
                </c:pt>
                <c:pt idx="143">
                  <c:v>4132.9</c:v>
                </c:pt>
                <c:pt idx="144">
                  <c:v>4207.5</c:v>
                </c:pt>
                <c:pt idx="145">
                  <c:v>4214.6</c:v>
                </c:pt>
                <c:pt idx="146">
                  <c:v>4208.7</c:v>
                </c:pt>
                <c:pt idx="147">
                  <c:v>4175.5</c:v>
                </c:pt>
                <c:pt idx="148">
                  <c:v>4023</c:v>
                </c:pt>
                <c:pt idx="149">
                  <c:v>3941.2</c:v>
                </c:pt>
                <c:pt idx="150">
                  <c:v>3908.9</c:v>
                </c:pt>
                <c:pt idx="151">
                  <c:v>3933.5</c:v>
                </c:pt>
                <c:pt idx="152">
                  <c:v>4062.5</c:v>
                </c:pt>
                <c:pt idx="153">
                  <c:v>4064.7</c:v>
                </c:pt>
                <c:pt idx="154">
                  <c:v>4048.8</c:v>
                </c:pt>
                <c:pt idx="155">
                  <c:v>4067.9</c:v>
                </c:pt>
                <c:pt idx="156">
                  <c:v>4052.4</c:v>
                </c:pt>
                <c:pt idx="157">
                  <c:v>4105.9</c:v>
                </c:pt>
                <c:pt idx="158">
                  <c:v>4069.9</c:v>
                </c:pt>
                <c:pt idx="159">
                  <c:v>4206.5</c:v>
                </c:pt>
                <c:pt idx="160">
                  <c:v>4375.7</c:v>
                </c:pt>
                <c:pt idx="161">
                  <c:v>4386.6</c:v>
                </c:pt>
                <c:pt idx="162">
                  <c:v>4415.3</c:v>
                </c:pt>
                <c:pt idx="163">
                  <c:v>4483.3</c:v>
                </c:pt>
                <c:pt idx="164">
                  <c:v>4472.3</c:v>
                </c:pt>
                <c:pt idx="165">
                  <c:v>4342.1</c:v>
                </c:pt>
                <c:pt idx="166">
                  <c:v>4388.3</c:v>
                </c:pt>
                <c:pt idx="167">
                  <c:v>4320</c:v>
                </c:pt>
                <c:pt idx="168">
                  <c:v>4260.9</c:v>
                </c:pt>
                <c:pt idx="169">
                  <c:v>4280.5</c:v>
                </c:pt>
                <c:pt idx="170">
                  <c:v>4336.7</c:v>
                </c:pt>
                <c:pt idx="171">
                  <c:v>4388.1</c:v>
                </c:pt>
                <c:pt idx="172">
                  <c:v>4338.3</c:v>
                </c:pt>
                <c:pt idx="173">
                  <c:v>4408.7</c:v>
                </c:pt>
                <c:pt idx="174">
                  <c:v>4478</c:v>
                </c:pt>
                <c:pt idx="175">
                  <c:v>4567.3</c:v>
                </c:pt>
                <c:pt idx="176">
                  <c:v>4560</c:v>
                </c:pt>
                <c:pt idx="177">
                  <c:v>4468.2</c:v>
                </c:pt>
                <c:pt idx="178">
                  <c:v>4565.4</c:v>
                </c:pt>
                <c:pt idx="179">
                  <c:v>4558.1</c:v>
                </c:pt>
                <c:pt idx="180">
                  <c:v>4527.7</c:v>
                </c:pt>
                <c:pt idx="181">
                  <c:v>4456.9</c:v>
                </c:pt>
                <c:pt idx="182">
                  <c:v>4446.4</c:v>
                </c:pt>
                <c:pt idx="183">
                  <c:v>4667.4</c:v>
                </c:pt>
                <c:pt idx="184">
                  <c:v>4615</c:v>
                </c:pt>
                <c:pt idx="185">
                  <c:v>4663.5</c:v>
                </c:pt>
                <c:pt idx="186">
                  <c:v>4654.9</c:v>
                </c:pt>
                <c:pt idx="187">
                  <c:v>4602.6</c:v>
                </c:pt>
                <c:pt idx="188">
                  <c:v>4726.9</c:v>
                </c:pt>
                <c:pt idx="189">
                  <c:v>4929.6</c:v>
                </c:pt>
                <c:pt idx="190">
                  <c:v>4982</c:v>
                </c:pt>
                <c:pt idx="191">
                  <c:v>4879.8</c:v>
                </c:pt>
                <c:pt idx="192">
                  <c:v>4997.9</c:v>
                </c:pt>
                <c:pt idx="193">
                  <c:v>5165.8</c:v>
                </c:pt>
                <c:pt idx="194">
                  <c:v>4957.8</c:v>
                </c:pt>
                <c:pt idx="195">
                  <c:v>4890.2</c:v>
                </c:pt>
                <c:pt idx="196">
                  <c:v>4992.5</c:v>
                </c:pt>
                <c:pt idx="197">
                  <c:v>4869</c:v>
                </c:pt>
                <c:pt idx="198">
                  <c:v>4783.6</c:v>
                </c:pt>
                <c:pt idx="199">
                  <c:v>4757.7</c:v>
                </c:pt>
                <c:pt idx="200">
                  <c:v>4757.6</c:v>
                </c:pt>
                <c:pt idx="201">
                  <c:v>4712.8</c:v>
                </c:pt>
                <c:pt idx="202">
                  <c:v>4788.2</c:v>
                </c:pt>
                <c:pt idx="203">
                  <c:v>4897.9</c:v>
                </c:pt>
                <c:pt idx="204">
                  <c:v>4908.3</c:v>
                </c:pt>
                <c:pt idx="205">
                  <c:v>4891.5</c:v>
                </c:pt>
                <c:pt idx="206">
                  <c:v>4851.9</c:v>
                </c:pt>
                <c:pt idx="207">
                  <c:v>4899.9</c:v>
                </c:pt>
                <c:pt idx="208">
                  <c:v>4905.2</c:v>
                </c:pt>
                <c:pt idx="209">
                  <c:v>4962.1</c:v>
                </c:pt>
                <c:pt idx="210">
                  <c:v>4886.9</c:v>
                </c:pt>
                <c:pt idx="211">
                  <c:v>4903.5</c:v>
                </c:pt>
                <c:pt idx="212">
                  <c:v>4756.1</c:v>
                </c:pt>
                <c:pt idx="213">
                  <c:v>4819.1</c:v>
                </c:pt>
                <c:pt idx="214">
                  <c:v>4825.4</c:v>
                </c:pt>
                <c:pt idx="215">
                  <c:v>4870.8</c:v>
                </c:pt>
                <c:pt idx="216">
                  <c:v>4790.3</c:v>
                </c:pt>
                <c:pt idx="217">
                  <c:v>4906.4</c:v>
                </c:pt>
                <c:pt idx="218">
                  <c:v>4745</c:v>
                </c:pt>
                <c:pt idx="219">
                  <c:v>4679.1</c:v>
                </c:pt>
                <c:pt idx="220">
                  <c:v>4720.5</c:v>
                </c:pt>
                <c:pt idx="221">
                  <c:v>4567.3</c:v>
                </c:pt>
                <c:pt idx="222">
                  <c:v>4491.7</c:v>
                </c:pt>
                <c:pt idx="223">
                  <c:v>4306.9</c:v>
                </c:pt>
                <c:pt idx="224">
                  <c:v>4381.9</c:v>
                </c:pt>
                <c:pt idx="225">
                  <c:v>4478.8</c:v>
                </c:pt>
                <c:pt idx="226">
                  <c:v>4526.2</c:v>
                </c:pt>
                <c:pt idx="227">
                  <c:v>4615</c:v>
                </c:pt>
                <c:pt idx="228">
                  <c:v>4735.3</c:v>
                </c:pt>
                <c:pt idx="229">
                  <c:v>4765.8</c:v>
                </c:pt>
                <c:pt idx="230">
                  <c:v>4673.3</c:v>
                </c:pt>
                <c:pt idx="231">
                  <c:v>4507.7</c:v>
                </c:pt>
                <c:pt idx="232">
                  <c:v>4605.3</c:v>
                </c:pt>
                <c:pt idx="233">
                  <c:v>4716.2</c:v>
                </c:pt>
                <c:pt idx="234">
                  <c:v>4820.4</c:v>
                </c:pt>
                <c:pt idx="235">
                  <c:v>4784.9</c:v>
                </c:pt>
                <c:pt idx="236">
                  <c:v>4790.4</c:v>
                </c:pt>
                <c:pt idx="237">
                  <c:v>4759.8</c:v>
                </c:pt>
                <c:pt idx="238">
                  <c:v>4808</c:v>
                </c:pt>
                <c:pt idx="239">
                  <c:v>4823.1</c:v>
                </c:pt>
                <c:pt idx="240">
                  <c:v>4903.9</c:v>
                </c:pt>
                <c:pt idx="241">
                  <c:v>5045.1</c:v>
                </c:pt>
                <c:pt idx="242">
                  <c:v>5017.5</c:v>
                </c:pt>
                <c:pt idx="243">
                  <c:v>4983</c:v>
                </c:pt>
                <c:pt idx="244">
                  <c:v>4983</c:v>
                </c:pt>
                <c:pt idx="245">
                  <c:v>5090.4</c:v>
                </c:pt>
                <c:pt idx="246">
                  <c:v>5074.4</c:v>
                </c:pt>
                <c:pt idx="247">
                  <c:v>5126.8</c:v>
                </c:pt>
                <c:pt idx="248">
                  <c:v>5126</c:v>
                </c:pt>
                <c:pt idx="249">
                  <c:v>5220.9</c:v>
                </c:pt>
                <c:pt idx="250">
                  <c:v>5317.9</c:v>
                </c:pt>
                <c:pt idx="251">
                  <c:v>5219.3</c:v>
                </c:pt>
                <c:pt idx="252">
                  <c:v>5827</c:v>
                </c:pt>
                <c:pt idx="253">
                  <c:v>5520</c:v>
                </c:pt>
                <c:pt idx="254">
                  <c:v>5472.2</c:v>
                </c:pt>
                <c:pt idx="255">
                  <c:v>5477.1</c:v>
                </c:pt>
                <c:pt idx="256">
                  <c:v>5545</c:v>
                </c:pt>
                <c:pt idx="257">
                  <c:v>5651</c:v>
                </c:pt>
                <c:pt idx="258">
                  <c:v>5765</c:v>
                </c:pt>
                <c:pt idx="259">
                  <c:v>5777</c:v>
                </c:pt>
                <c:pt idx="260">
                  <c:v>5804</c:v>
                </c:pt>
                <c:pt idx="261">
                  <c:v>5436</c:v>
                </c:pt>
                <c:pt idx="262">
                  <c:v>5297</c:v>
                </c:pt>
                <c:pt idx="263">
                  <c:v>5267</c:v>
                </c:pt>
                <c:pt idx="264">
                  <c:v>5477</c:v>
                </c:pt>
                <c:pt idx="265">
                  <c:v>5397</c:v>
                </c:pt>
                <c:pt idx="266">
                  <c:v>5105</c:v>
                </c:pt>
                <c:pt idx="267">
                  <c:v>5103</c:v>
                </c:pt>
                <c:pt idx="268">
                  <c:v>5087</c:v>
                </c:pt>
                <c:pt idx="269">
                  <c:v>4890</c:v>
                </c:pt>
                <c:pt idx="270">
                  <c:v>5233</c:v>
                </c:pt>
                <c:pt idx="271">
                  <c:v>5233.18</c:v>
                </c:pt>
                <c:pt idx="272">
                  <c:v>4859.59</c:v>
                </c:pt>
                <c:pt idx="273">
                  <c:v>4607.76</c:v>
                </c:pt>
                <c:pt idx="274">
                  <c:v>4519.45</c:v>
                </c:pt>
                <c:pt idx="275">
                  <c:v>4567.57</c:v>
                </c:pt>
                <c:pt idx="276">
                  <c:v>4426.27</c:v>
                </c:pt>
                <c:pt idx="277">
                  <c:v>4730.01</c:v>
                </c:pt>
                <c:pt idx="278">
                  <c:v>4709.45</c:v>
                </c:pt>
                <c:pt idx="279">
                  <c:v>4743.82</c:v>
                </c:pt>
                <c:pt idx="280">
                  <c:v>4942.31</c:v>
                </c:pt>
                <c:pt idx="281">
                  <c:v>4933.35</c:v>
                </c:pt>
                <c:pt idx="282">
                  <c:v>5173.38</c:v>
                </c:pt>
                <c:pt idx="283">
                  <c:v>5170.25</c:v>
                </c:pt>
                <c:pt idx="284">
                  <c:v>5266.57</c:v>
                </c:pt>
                <c:pt idx="285">
                  <c:v>5196.3</c:v>
                </c:pt>
                <c:pt idx="286">
                  <c:v>5267.93</c:v>
                </c:pt>
                <c:pt idx="287">
                  <c:v>5086.9</c:v>
                </c:pt>
                <c:pt idx="288">
                  <c:v>5228.65</c:v>
                </c:pt>
                <c:pt idx="289">
                  <c:v>5097.35</c:v>
                </c:pt>
                <c:pt idx="290">
                  <c:v>5153.63</c:v>
                </c:pt>
                <c:pt idx="291">
                  <c:v>5059.56</c:v>
                </c:pt>
                <c:pt idx="292">
                  <c:v>5029.25</c:v>
                </c:pt>
                <c:pt idx="293">
                  <c:v>5158.82</c:v>
                </c:pt>
                <c:pt idx="294">
                  <c:v>4759</c:v>
                </c:pt>
                <c:pt idx="295">
                  <c:v>4770.85</c:v>
                </c:pt>
                <c:pt idx="296">
                  <c:v>4742.42</c:v>
                </c:pt>
                <c:pt idx="297">
                  <c:v>4528.22</c:v>
                </c:pt>
                <c:pt idx="298">
                  <c:v>4625.78</c:v>
                </c:pt>
                <c:pt idx="299">
                  <c:v>4680.67</c:v>
                </c:pt>
                <c:pt idx="300">
                  <c:v>4910.17</c:v>
                </c:pt>
                <c:pt idx="301">
                  <c:v>4898.44</c:v>
                </c:pt>
                <c:pt idx="302">
                  <c:v>4980.49</c:v>
                </c:pt>
                <c:pt idx="303">
                  <c:v>4910.44</c:v>
                </c:pt>
                <c:pt idx="304">
                  <c:v>4912.1</c:v>
                </c:pt>
                <c:pt idx="305">
                  <c:v>4859.29</c:v>
                </c:pt>
                <c:pt idx="306">
                  <c:v>5066.65</c:v>
                </c:pt>
                <c:pt idx="307">
                  <c:v>5000.06</c:v>
                </c:pt>
                <c:pt idx="308">
                  <c:v>5025.81</c:v>
                </c:pt>
                <c:pt idx="309">
                  <c:v>5091.78</c:v>
                </c:pt>
                <c:pt idx="310">
                  <c:v>5132.52</c:v>
                </c:pt>
                <c:pt idx="311">
                  <c:v>5310.5</c:v>
                </c:pt>
                <c:pt idx="312">
                  <c:v>5217.23</c:v>
                </c:pt>
                <c:pt idx="313">
                  <c:v>5173.06</c:v>
                </c:pt>
                <c:pt idx="314">
                  <c:v>5024.94</c:v>
                </c:pt>
                <c:pt idx="315">
                  <c:v>5099.2</c:v>
                </c:pt>
                <c:pt idx="316">
                  <c:v>5125.21</c:v>
                </c:pt>
                <c:pt idx="317">
                  <c:v>5206.84</c:v>
                </c:pt>
                <c:pt idx="318">
                  <c:v>5196.8</c:v>
                </c:pt>
                <c:pt idx="319">
                  <c:v>5266.1</c:v>
                </c:pt>
                <c:pt idx="320">
                  <c:v>5321.9</c:v>
                </c:pt>
                <c:pt idx="321">
                  <c:v>5293.94</c:v>
                </c:pt>
                <c:pt idx="322">
                  <c:v>5335.94</c:v>
                </c:pt>
                <c:pt idx="323">
                  <c:v>5293.94</c:v>
                </c:pt>
                <c:pt idx="324">
                  <c:v>5335.94</c:v>
                </c:pt>
                <c:pt idx="325">
                  <c:v>5432.21</c:v>
                </c:pt>
                <c:pt idx="326">
                  <c:v>5145.21</c:v>
                </c:pt>
                <c:pt idx="327">
                  <c:v>5155.86</c:v>
                </c:pt>
                <c:pt idx="328">
                  <c:v>5204.81</c:v>
                </c:pt>
                <c:pt idx="329">
                  <c:v>5208.62</c:v>
                </c:pt>
                <c:pt idx="330">
                  <c:v>5215.21</c:v>
                </c:pt>
                <c:pt idx="331">
                  <c:v>5190.71</c:v>
                </c:pt>
                <c:pt idx="332">
                  <c:v>5131.37</c:v>
                </c:pt>
                <c:pt idx="333">
                  <c:v>5157.61</c:v>
                </c:pt>
                <c:pt idx="334">
                  <c:v>5212.83</c:v>
                </c:pt>
                <c:pt idx="335">
                  <c:v>5211.67</c:v>
                </c:pt>
                <c:pt idx="336">
                  <c:v>5332.17</c:v>
                </c:pt>
                <c:pt idx="337">
                  <c:v>5153.49</c:v>
                </c:pt>
                <c:pt idx="338">
                  <c:v>4946.75</c:v>
                </c:pt>
                <c:pt idx="339">
                  <c:v>5001.43</c:v>
                </c:pt>
                <c:pt idx="340">
                  <c:v>4973.99</c:v>
                </c:pt>
                <c:pt idx="341">
                  <c:v>5057.83</c:v>
                </c:pt>
                <c:pt idx="342">
                  <c:v>5215.57</c:v>
                </c:pt>
                <c:pt idx="343">
                  <c:v>5333.99</c:v>
                </c:pt>
                <c:pt idx="344">
                  <c:v>5108.64</c:v>
                </c:pt>
                <c:pt idx="345">
                  <c:v>5006.29</c:v>
                </c:pt>
                <c:pt idx="346">
                  <c:v>5004.59</c:v>
                </c:pt>
                <c:pt idx="347">
                  <c:v>4833.59</c:v>
                </c:pt>
                <c:pt idx="348">
                  <c:v>4888.77</c:v>
                </c:pt>
                <c:pt idx="349">
                  <c:v>4919.16</c:v>
                </c:pt>
                <c:pt idx="350">
                  <c:v>4884.25</c:v>
                </c:pt>
                <c:pt idx="351">
                  <c:v>4963.05</c:v>
                </c:pt>
                <c:pt idx="352">
                  <c:v>4955.8</c:v>
                </c:pt>
                <c:pt idx="353">
                  <c:v>4987.92</c:v>
                </c:pt>
                <c:pt idx="354">
                  <c:v>4927.56</c:v>
                </c:pt>
                <c:pt idx="355">
                  <c:v>4853.01</c:v>
                </c:pt>
                <c:pt idx="356">
                  <c:v>4926.56</c:v>
                </c:pt>
                <c:pt idx="357">
                  <c:v>5055.32</c:v>
                </c:pt>
                <c:pt idx="358">
                  <c:v>5035.86</c:v>
                </c:pt>
                <c:pt idx="359">
                  <c:v>5121.78</c:v>
                </c:pt>
                <c:pt idx="360">
                  <c:v>5026.37</c:v>
                </c:pt>
                <c:pt idx="361">
                  <c:v>5061.3</c:v>
                </c:pt>
                <c:pt idx="362">
                  <c:v>5018.84</c:v>
                </c:pt>
                <c:pt idx="363">
                  <c:v>4894.7</c:v>
                </c:pt>
                <c:pt idx="364">
                  <c:v>5027.8</c:v>
                </c:pt>
                <c:pt idx="365">
                  <c:v>4982.19</c:v>
                </c:pt>
                <c:pt idx="366">
                  <c:v>5149.78</c:v>
                </c:pt>
                <c:pt idx="367">
                  <c:v>5256.06</c:v>
                </c:pt>
                <c:pt idx="368">
                  <c:v>5169.79</c:v>
                </c:pt>
                <c:pt idx="369">
                  <c:v>4970.98</c:v>
                </c:pt>
                <c:pt idx="370">
                  <c:v>4893.47</c:v>
                </c:pt>
                <c:pt idx="371">
                  <c:v>4964.91</c:v>
                </c:pt>
                <c:pt idx="372">
                  <c:v>5118.75</c:v>
                </c:pt>
                <c:pt idx="373">
                  <c:v>5173.56</c:v>
                </c:pt>
                <c:pt idx="374">
                  <c:v>5175.31</c:v>
                </c:pt>
                <c:pt idx="375">
                  <c:v>5122.97</c:v>
                </c:pt>
                <c:pt idx="376">
                  <c:v>5026.51</c:v>
                </c:pt>
                <c:pt idx="377">
                  <c:v>4979.93</c:v>
                </c:pt>
                <c:pt idx="378">
                  <c:v>5021.5</c:v>
                </c:pt>
                <c:pt idx="379">
                  <c:v>5163.65</c:v>
                </c:pt>
                <c:pt idx="380">
                  <c:v>5310.14</c:v>
                </c:pt>
                <c:pt idx="381">
                  <c:v>5212.25</c:v>
                </c:pt>
                <c:pt idx="382">
                  <c:v>5162.35</c:v>
                </c:pt>
                <c:pt idx="383">
                  <c:v>5037.47</c:v>
                </c:pt>
                <c:pt idx="384">
                  <c:v>5020.04</c:v>
                </c:pt>
                <c:pt idx="385">
                  <c:v>5045.95</c:v>
                </c:pt>
                <c:pt idx="386">
                  <c:v>5153.67</c:v>
                </c:pt>
                <c:pt idx="387">
                  <c:v>5162.96</c:v>
                </c:pt>
                <c:pt idx="388">
                  <c:v>5309.74</c:v>
                </c:pt>
                <c:pt idx="389">
                  <c:v>5378.5</c:v>
                </c:pt>
                <c:pt idx="390">
                  <c:v>5469.29</c:v>
                </c:pt>
                <c:pt idx="391">
                  <c:v>5444.69</c:v>
                </c:pt>
                <c:pt idx="392">
                  <c:v>5341.94</c:v>
                </c:pt>
                <c:pt idx="393">
                  <c:v>4853.24</c:v>
                </c:pt>
                <c:pt idx="394">
                  <c:v>4907.03</c:v>
                </c:pt>
                <c:pt idx="395">
                  <c:v>4918.1</c:v>
                </c:pt>
                <c:pt idx="396">
                  <c:v>5030.53</c:v>
                </c:pt>
                <c:pt idx="397">
                  <c:v>5015.85</c:v>
                </c:pt>
                <c:pt idx="398">
                  <c:v>4924.81</c:v>
                </c:pt>
                <c:pt idx="399">
                  <c:v>4976.59</c:v>
                </c:pt>
                <c:pt idx="400">
                  <c:v>5091.5</c:v>
                </c:pt>
                <c:pt idx="401">
                  <c:v>5092.59</c:v>
                </c:pt>
                <c:pt idx="402">
                  <c:v>5009.34</c:v>
                </c:pt>
                <c:pt idx="403">
                  <c:v>5082.67</c:v>
                </c:pt>
                <c:pt idx="404">
                  <c:v>5079.97</c:v>
                </c:pt>
                <c:pt idx="405">
                  <c:v>5090.79</c:v>
                </c:pt>
                <c:pt idx="406">
                  <c:v>5156.39</c:v>
                </c:pt>
                <c:pt idx="407">
                  <c:v>5160.94</c:v>
                </c:pt>
                <c:pt idx="408">
                  <c:v>5247.86</c:v>
                </c:pt>
                <c:pt idx="409">
                  <c:v>5309.69</c:v>
                </c:pt>
                <c:pt idx="410">
                  <c:v>5310.83</c:v>
                </c:pt>
                <c:pt idx="411">
                  <c:v>5136.59</c:v>
                </c:pt>
                <c:pt idx="412">
                  <c:v>5003.54</c:v>
                </c:pt>
                <c:pt idx="413">
                  <c:v>4888.88</c:v>
                </c:pt>
                <c:pt idx="414">
                  <c:v>4990.82</c:v>
                </c:pt>
                <c:pt idx="415">
                  <c:v>4686.75</c:v>
                </c:pt>
                <c:pt idx="416">
                  <c:v>4766.75</c:v>
                </c:pt>
                <c:pt idx="417">
                  <c:v>4575.37</c:v>
                </c:pt>
                <c:pt idx="418">
                  <c:v>4604.51</c:v>
                </c:pt>
                <c:pt idx="419">
                  <c:v>4700.79</c:v>
                </c:pt>
                <c:pt idx="420">
                  <c:v>4487.85</c:v>
                </c:pt>
                <c:pt idx="421">
                  <c:v>4629.59</c:v>
                </c:pt>
                <c:pt idx="422">
                  <c:v>4405.09</c:v>
                </c:pt>
                <c:pt idx="423">
                  <c:v>4374.07</c:v>
                </c:pt>
                <c:pt idx="424">
                  <c:v>4481.02</c:v>
                </c:pt>
                <c:pt idx="425">
                  <c:v>4453.24</c:v>
                </c:pt>
                <c:pt idx="426">
                  <c:v>4598.79</c:v>
                </c:pt>
                <c:pt idx="427">
                  <c:v>4663.97</c:v>
                </c:pt>
                <c:pt idx="428">
                  <c:v>4589.03</c:v>
                </c:pt>
                <c:pt idx="429">
                  <c:v>4634.53</c:v>
                </c:pt>
                <c:pt idx="430">
                  <c:v>4601.37</c:v>
                </c:pt>
                <c:pt idx="431">
                  <c:v>4557.95</c:v>
                </c:pt>
                <c:pt idx="432">
                  <c:v>4694.22</c:v>
                </c:pt>
                <c:pt idx="433">
                  <c:v>4661.34</c:v>
                </c:pt>
                <c:pt idx="434">
                  <c:v>4508.74</c:v>
                </c:pt>
                <c:pt idx="435">
                  <c:v>4415.25</c:v>
                </c:pt>
                <c:pt idx="436">
                  <c:v>4284.91</c:v>
                </c:pt>
                <c:pt idx="437">
                  <c:v>4270.43</c:v>
                </c:pt>
                <c:pt idx="438">
                  <c:v>4282.46</c:v>
                </c:pt>
                <c:pt idx="439">
                  <c:v>4320.75</c:v>
                </c:pt>
                <c:pt idx="440">
                  <c:v>3893.69</c:v>
                </c:pt>
                <c:pt idx="441">
                  <c:v>3597.66</c:v>
                </c:pt>
                <c:pt idx="442">
                  <c:v>3694.95</c:v>
                </c:pt>
                <c:pt idx="443">
                  <c:v>3562.94</c:v>
                </c:pt>
                <c:pt idx="444">
                  <c:v>4230.45</c:v>
                </c:pt>
                <c:pt idx="445">
                  <c:v>3893.3</c:v>
                </c:pt>
                <c:pt idx="446">
                  <c:v>3990.9</c:v>
                </c:pt>
                <c:pt idx="447">
                  <c:v>4003.22</c:v>
                </c:pt>
                <c:pt idx="448">
                  <c:v>4021.89</c:v>
                </c:pt>
                <c:pt idx="449">
                  <c:v>3857.17</c:v>
                </c:pt>
                <c:pt idx="450">
                  <c:v>3832.47</c:v>
                </c:pt>
                <c:pt idx="451">
                  <c:v>3751.91</c:v>
                </c:pt>
                <c:pt idx="452">
                  <c:v>3832.05</c:v>
                </c:pt>
                <c:pt idx="453">
                  <c:v>3983.92</c:v>
                </c:pt>
                <c:pt idx="454">
                  <c:v>4208.19</c:v>
                </c:pt>
                <c:pt idx="455">
                  <c:v>4251.61</c:v>
                </c:pt>
                <c:pt idx="456">
                  <c:v>4235.62</c:v>
                </c:pt>
                <c:pt idx="457">
                  <c:v>4196.75</c:v>
                </c:pt>
                <c:pt idx="458">
                  <c:v>4230.09</c:v>
                </c:pt>
                <c:pt idx="459">
                  <c:v>4247.66</c:v>
                </c:pt>
                <c:pt idx="460">
                  <c:v>4397.05</c:v>
                </c:pt>
                <c:pt idx="461">
                  <c:v>4356.18</c:v>
                </c:pt>
                <c:pt idx="462">
                  <c:v>4311.2</c:v>
                </c:pt>
                <c:pt idx="463">
                  <c:v>4386.36</c:v>
                </c:pt>
                <c:pt idx="464">
                  <c:v>4430.44</c:v>
                </c:pt>
                <c:pt idx="465">
                  <c:v>4466.5</c:v>
                </c:pt>
                <c:pt idx="466">
                  <c:v>4780.93</c:v>
                </c:pt>
                <c:pt idx="467">
                  <c:v>4931.35</c:v>
                </c:pt>
                <c:pt idx="468">
                  <c:v>4960.73</c:v>
                </c:pt>
                <c:pt idx="469">
                  <c:v>4932.45</c:v>
                </c:pt>
                <c:pt idx="470">
                  <c:v>4922.19</c:v>
                </c:pt>
                <c:pt idx="471">
                  <c:v>4897.71</c:v>
                </c:pt>
                <c:pt idx="472">
                  <c:v>4890.78</c:v>
                </c:pt>
                <c:pt idx="473">
                  <c:v>4802.71</c:v>
                </c:pt>
                <c:pt idx="474">
                  <c:v>4775.47</c:v>
                </c:pt>
                <c:pt idx="475">
                  <c:v>4702.38</c:v>
                </c:pt>
                <c:pt idx="476">
                  <c:v>4861.09</c:v>
                </c:pt>
                <c:pt idx="477">
                  <c:v>4834.42</c:v>
                </c:pt>
                <c:pt idx="478">
                  <c:v>4860.48</c:v>
                </c:pt>
                <c:pt idx="479">
                  <c:v>4758.06</c:v>
                </c:pt>
                <c:pt idx="480">
                  <c:v>4832.79</c:v>
                </c:pt>
                <c:pt idx="481">
                  <c:v>4964.41</c:v>
                </c:pt>
                <c:pt idx="482">
                  <c:v>5033.35</c:v>
                </c:pt>
                <c:pt idx="483">
                  <c:v>5010.92</c:v>
                </c:pt>
                <c:pt idx="484">
                  <c:v>5038.06</c:v>
                </c:pt>
                <c:pt idx="485">
                  <c:v>5136.66</c:v>
                </c:pt>
                <c:pt idx="486">
                  <c:v>5242.5</c:v>
                </c:pt>
                <c:pt idx="487">
                  <c:v>5232.53</c:v>
                </c:pt>
                <c:pt idx="488">
                  <c:v>5249.15</c:v>
                </c:pt>
                <c:pt idx="489">
                  <c:v>5112.24</c:v>
                </c:pt>
                <c:pt idx="490">
                  <c:v>5010.92</c:v>
                </c:pt>
                <c:pt idx="491">
                  <c:v>5038.06</c:v>
                </c:pt>
                <c:pt idx="492">
                  <c:v>5136.66</c:v>
                </c:pt>
                <c:pt idx="493">
                  <c:v>5242.5</c:v>
                </c:pt>
                <c:pt idx="494">
                  <c:v>5232.53</c:v>
                </c:pt>
                <c:pt idx="495">
                  <c:v>5249.15</c:v>
                </c:pt>
                <c:pt idx="496">
                  <c:v>5112.24</c:v>
                </c:pt>
                <c:pt idx="497">
                  <c:v>5267.3</c:v>
                </c:pt>
                <c:pt idx="498">
                  <c:v>5223.65</c:v>
                </c:pt>
                <c:pt idx="499">
                  <c:v>5251.02</c:v>
                </c:pt>
                <c:pt idx="500">
                  <c:v>5211.48</c:v>
                </c:pt>
                <c:pt idx="501">
                  <c:v>5244.3</c:v>
                </c:pt>
                <c:pt idx="502">
                  <c:v>5441.87</c:v>
                </c:pt>
                <c:pt idx="503">
                  <c:v>5493.3</c:v>
                </c:pt>
                <c:pt idx="504">
                  <c:v>5541.46</c:v>
                </c:pt>
                <c:pt idx="505">
                  <c:v>5544.99</c:v>
                </c:pt>
                <c:pt idx="506">
                  <c:v>5546.54</c:v>
                </c:pt>
                <c:pt idx="507">
                  <c:v>5507.5</c:v>
                </c:pt>
                <c:pt idx="508">
                  <c:v>5611.05</c:v>
                </c:pt>
                <c:pt idx="509">
                  <c:v>5647.12</c:v>
                </c:pt>
                <c:pt idx="510">
                  <c:v>5541.2</c:v>
                </c:pt>
                <c:pt idx="511">
                  <c:v>5641.22</c:v>
                </c:pt>
                <c:pt idx="512">
                  <c:v>5665.99</c:v>
                </c:pt>
                <c:pt idx="513">
                  <c:v>5708.28</c:v>
                </c:pt>
                <c:pt idx="514">
                  <c:v>5696.29</c:v>
                </c:pt>
                <c:pt idx="515">
                  <c:v>5646.72</c:v>
                </c:pt>
                <c:pt idx="516">
                  <c:v>5718.61</c:v>
                </c:pt>
                <c:pt idx="517">
                  <c:v>5696.21</c:v>
                </c:pt>
                <c:pt idx="518">
                  <c:v>5737.64</c:v>
                </c:pt>
                <c:pt idx="519">
                  <c:v>5732.62</c:v>
                </c:pt>
                <c:pt idx="520">
                  <c:v>5739.42</c:v>
                </c:pt>
                <c:pt idx="521">
                  <c:v>5638.71</c:v>
                </c:pt>
                <c:pt idx="522">
                  <c:v>5637.79</c:v>
                </c:pt>
                <c:pt idx="523">
                  <c:v>5644.37</c:v>
                </c:pt>
                <c:pt idx="524">
                  <c:v>5645.86</c:v>
                </c:pt>
                <c:pt idx="525">
                  <c:v>5737.1</c:v>
                </c:pt>
                <c:pt idx="526">
                  <c:v>5739.79</c:v>
                </c:pt>
                <c:pt idx="527">
                  <c:v>5787.32</c:v>
                </c:pt>
                <c:pt idx="528">
                  <c:v>5607.92</c:v>
                </c:pt>
                <c:pt idx="529">
                  <c:v>5627.61</c:v>
                </c:pt>
                <c:pt idx="530">
                  <c:v>5624.41</c:v>
                </c:pt>
                <c:pt idx="531">
                  <c:v>5561.69</c:v>
                </c:pt>
                <c:pt idx="532">
                  <c:v>5650.3</c:v>
                </c:pt>
                <c:pt idx="533">
                  <c:v>5633.7</c:v>
                </c:pt>
                <c:pt idx="534">
                  <c:v>5678.02</c:v>
                </c:pt>
                <c:pt idx="535">
                  <c:v>5670.37</c:v>
                </c:pt>
                <c:pt idx="536">
                  <c:v>5840.09</c:v>
                </c:pt>
                <c:pt idx="537">
                  <c:v>5892.61</c:v>
                </c:pt>
                <c:pt idx="538">
                  <c:v>5885.49</c:v>
                </c:pt>
                <c:pt idx="539">
                  <c:v>5752.74</c:v>
                </c:pt>
                <c:pt idx="540">
                  <c:v>5776.31</c:v>
                </c:pt>
                <c:pt idx="541">
                  <c:v>5671.51</c:v>
                </c:pt>
                <c:pt idx="542">
                  <c:v>5630.82</c:v>
                </c:pt>
                <c:pt idx="543">
                  <c:v>5603.26</c:v>
                </c:pt>
                <c:pt idx="544">
                  <c:v>5754.5</c:v>
                </c:pt>
                <c:pt idx="545">
                  <c:v>5756.3</c:v>
                </c:pt>
                <c:pt idx="546">
                  <c:v>5807.9</c:v>
                </c:pt>
                <c:pt idx="547">
                  <c:v>5824.6</c:v>
                </c:pt>
                <c:pt idx="548">
                  <c:v>5853.1</c:v>
                </c:pt>
                <c:pt idx="549">
                  <c:v>5668.9</c:v>
                </c:pt>
                <c:pt idx="550">
                  <c:v>5605.5</c:v>
                </c:pt>
                <c:pt idx="551">
                  <c:v>5592.8</c:v>
                </c:pt>
                <c:pt idx="552">
                  <c:v>5667.9</c:v>
                </c:pt>
                <c:pt idx="553">
                  <c:v>5761.4</c:v>
                </c:pt>
                <c:pt idx="554">
                  <c:v>5809.6</c:v>
                </c:pt>
                <c:pt idx="555">
                  <c:v>5819.8</c:v>
                </c:pt>
                <c:pt idx="556">
                  <c:v>5958.1</c:v>
                </c:pt>
                <c:pt idx="557">
                  <c:v>5995.4</c:v>
                </c:pt>
                <c:pt idx="558">
                  <c:v>6001.7</c:v>
                </c:pt>
                <c:pt idx="559">
                  <c:v>6059.8</c:v>
                </c:pt>
                <c:pt idx="560">
                  <c:v>6079.2</c:v>
                </c:pt>
                <c:pt idx="561">
                  <c:v>6060.2</c:v>
                </c:pt>
                <c:pt idx="562">
                  <c:v>6278.2</c:v>
                </c:pt>
                <c:pt idx="563">
                  <c:v>6232.2</c:v>
                </c:pt>
                <c:pt idx="564">
                  <c:v>6330.1</c:v>
                </c:pt>
                <c:pt idx="565">
                  <c:v>6308.2</c:v>
                </c:pt>
                <c:pt idx="566">
                  <c:v>6297</c:v>
                </c:pt>
              </c:numCache>
            </c:numRef>
          </c:val>
          <c:smooth val="0"/>
        </c:ser>
        <c:dLbls>
          <c:showLegendKey val="0"/>
          <c:showVal val="0"/>
          <c:showCatName val="0"/>
          <c:showSerName val="0"/>
          <c:showPercent val="0"/>
          <c:showBubbleSize val="0"/>
        </c:dLbls>
        <c:marker val="0"/>
        <c:smooth val="0"/>
        <c:axId val="724931169"/>
        <c:axId val="785668904"/>
      </c:lineChart>
      <c:dateAx>
        <c:axId val="724931169"/>
        <c:scaling>
          <c:orientation val="minMax"/>
          <c:min val="45524"/>
        </c:scaling>
        <c:delete val="0"/>
        <c:axPos val="b"/>
        <c:numFmt formatCode="dd\-mmm\-yy" sourceLinked="0"/>
        <c:majorTickMark val="cross"/>
        <c:minorTickMark val="none"/>
        <c:tickLblPos val="nextTo"/>
        <c:spPr>
          <a:noFill/>
          <a:ln w="9525" cap="flat" cmpd="sng" algn="ctr">
            <a:solidFill>
              <a:schemeClr val="tx1">
                <a:lumMod val="15000"/>
                <a:lumOff val="85000"/>
              </a:schemeClr>
            </a:solidFill>
            <a:round/>
          </a:ln>
          <a:effectLst/>
        </c:spPr>
        <c:txPr>
          <a:bodyPr rot="-540000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crossAx val="785668904"/>
        <c:crosses val="autoZero"/>
        <c:auto val="1"/>
        <c:lblOffset val="100"/>
        <c:baseTimeUnit val="days"/>
        <c:majorUnit val="1"/>
        <c:majorTimeUnit val="months"/>
        <c:minorUnit val="1"/>
        <c:minorTimeUnit val="days"/>
      </c:dateAx>
      <c:valAx>
        <c:axId val="785668904"/>
        <c:scaling>
          <c:orientation val="minMax"/>
          <c:min val="2500"/>
        </c:scaling>
        <c:delete val="0"/>
        <c:axPos val="l"/>
        <c:numFmt formatCode="General"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crossAx val="724931169"/>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ayout>
        <c:manualLayout>
          <c:xMode val="edge"/>
          <c:yMode val="edge"/>
          <c:x val="0.0634965895144512"/>
          <c:y val="0.00694954228938739"/>
          <c:w val="0.548987117135159"/>
          <c:h val="0.12039819684447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
    <c:plotVisOnly val="1"/>
    <c:dispBlanksAs val="gap"/>
    <c:showDLblsOverMax val="0"/>
  </c:chart>
  <c:spPr>
    <a:solidFill>
      <a:schemeClr val="bg1"/>
    </a:solidFill>
    <a:ln w="9525" cap="flat" cmpd="sng" algn="ctr">
      <a:noFill/>
      <a:round/>
    </a:ln>
    <a:effectLst/>
  </c:spPr>
  <c:txPr>
    <a:bodyPr/>
    <a:lstStyle/>
    <a:p>
      <a:pPr>
        <a:defRPr lang="zh-CN">
          <a:solidFill>
            <a:sysClr val="windowText" lastClr="000000"/>
          </a:solidFill>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9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16197</Words>
  <Characters>22204</Characters>
  <Lines>1</Lines>
  <Paragraphs>1</Paragraphs>
  <TotalTime>1</TotalTime>
  <ScaleCrop>false</ScaleCrop>
  <LinksUpToDate>false</LinksUpToDate>
  <CharactersWithSpaces>23376</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2019-12-26T09:26:00Z</dcterms:created>
  <dc:creator>xiaofei li</dc:creator>
  <cp:lastModifiedBy>YOYO</cp:lastModifiedBy>
  <dcterms:modified xsi:type="dcterms:W3CDTF">2025-09-26T10:52:25Z</dcterms:modified>
  <cp:revision>1</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2052-11.1.0.12165</vt:lpwstr>
  </op:property>
  <op:property fmtid="{D5CDD505-2E9C-101B-9397-08002B2CF9AE}" pid="3" name="ICV">
    <vt:lpwstr>86CC53BE5CD04C53A4AFA55B81CE8458</vt:lpwstr>
  </op:property>
  <op:property fmtid="{D5CDD505-2E9C-101B-9397-08002B2CF9AE}" pid="4" name="_IPGFID">
    <vt:lpwstr>[DocID]=1BC5F405-D84B-4CE4-B151-E0E27CF48A7A</vt:lpwstr>
  </op:property>
  <op:property fmtid="{D5CDD505-2E9C-101B-9397-08002B2CF9AE}" pid="5" name="_IPGFLOW_P-BBE4_E-1_FP-4_SP-1_CV-A2088BC1_CN-EC4465C1">
    <vt:lpwstr>J80E5J0LlzbUUyYBp+YOs62rh8KZQXpqJTUmYF0+5jL6KRcVLmLdwc6u3LVO/lXg0zOVB+09d2FQkbIFt1gNNS/nH/gfrDCwEQ62zHsk0zdX2pgPnQ1iGUG85M9cyxodOz6q/rCF/Eli+xTN5MDU11rSFuBTyS9OStejrjEpJkDu2Q604ciSypO5+us9Wsr8duS+Ba2GlktpShFcRrX0Vq5gMF13GZxz39kD3eH6YBNtSSctJU2V8WG8Gub/wU2</vt:lpwstr>
  </op:property>
  <op:property fmtid="{D5CDD505-2E9C-101B-9397-08002B2CF9AE}" pid="6" name="_IPGFLOW_P-BBE4_E-1_FP-4_SP-2_CV-FA8666E3_CN-DEDB87B9">
    <vt:lpwstr>O+3qE6wkT34i9dVvrQcSjkucQxuZChHWxJ/T4vwgTHZ53ffwigxuck98ZhQ+710EGP4CUl2nEoPzcbAfIUa8w4Ddp8VACK0VPbL0wWiIXekqOI93W9jF2AhaR/AOfFZVEUJCQ8mu5TCVt58VkuqWncEIPPning5/NIrdCX6HZQxY=</vt:lpwstr>
  </op:property>
  <op:property fmtid="{D5CDD505-2E9C-101B-9397-08002B2CF9AE}" pid="7" name="_IPGFLOW_P-BBE4_E-0_FP-4_CV-B684056A_CN-112990A2">
    <vt:lpwstr>DPSPMK|3|428|2|0</vt:lpwstr>
  </op:property>
  <op:property fmtid="{D5CDD505-2E9C-101B-9397-08002B2CF9AE}" pid="8" name="_IPGFLOW_P-BBE4_E-1_FP-5_SP-1_CV-C75698EF_CN-85171DD2">
    <vt:lpwstr>J80E5J0LlzbUUyYBp+YOswK2sy657bDl3LFi1dqfef15dgE7m8KNpWHrDGSKbEhsrlJQC3NXguP7sj4960hYJn5hECuUSE+1y8SjLv6ixvuZqMByLugqse65EAf66dUIO/rlR1hXbSyVaNKVi3qtJddAQDHRewIKDRgTqBgQUSNFeyJqnix3rOxl+wD1/b4LMEDjKMCob5GEdMrwKlb4U3vgjZW18DV7Pa9wdo/o/NGCqQl2YbTjbAzbc0N22p2</vt:lpwstr>
  </op:property>
  <op:property fmtid="{D5CDD505-2E9C-101B-9397-08002B2CF9AE}" pid="9" name="_IPGFLOW_P-BBE4_E-1_FP-5_SP-2_CV-AFB6488C_CN-3E51BB6E">
    <vt:lpwstr>ZxOWs4AJ9rYNPmvaQCwV83gqUO/dU3BFgRzyEHuQnPbzeieMNBZuIndLgqY3MA6/iBfYULDNqA4LHXGO8A1hNkg==</vt:lpwstr>
  </op:property>
  <op:property fmtid="{D5CDD505-2E9C-101B-9397-08002B2CF9AE}" pid="10" name="_IPGFLOW_P-BBE4_E-0_FP-5_CV-608A35F8_CN-A2149348">
    <vt:lpwstr>DPSPMK|3|344|2|0</vt:lpwstr>
  </op:property>
  <op:property fmtid="{D5CDD505-2E9C-101B-9397-08002B2CF9AE}" pid="11" name="_IPGFLOW_P-BBE4_E-1_FP-6_SP-1_CV-D714142_CN-D8348B58">
    <vt:lpwstr>J80E5J0LlzbUUyYBp+YOs4mlSdFFcbchpMAJlC37t07IKSexQSjSS8dnXxBp7q4GKii9gJjFv872+9z2KFs5GhPS2sSBEM1GcIUmsjfXh/eqI8nwbindWMKZGNxRWK1j5UAK/JbsmDGn98dfl17SCywF/OnS1GneBA3iv4Z7Sg26YL31qttyU6TPLsVt+RA0rpibuLGbDb/ZoyDRr0nOnentSWMWiYUPvGNKa1E1djBFBYGGI6MalnHM43bsTWY</vt:lpwstr>
  </op:property>
  <op:property fmtid="{D5CDD505-2E9C-101B-9397-08002B2CF9AE}" pid="12" name="_IPGFLOW_P-BBE4_E-1_FP-6_SP-2_CV-990BC57C_CN-8252B197">
    <vt:lpwstr>iRes+Ddi4ogx3nvApFbzRb+oWwl6escW5chGSVaSWsEYysAPMTCEAFUZDTO0mkiyg8kQrJFU/BpO6llSV9PWxzrcneuaSgg7dXgrLLc4GZ7V5jXN/LFCNakjqcyYlzHjibxXyErIGzqlQ31PJ+iUg9zjjBd5K9XtFWvihMNodcy0=</vt:lpwstr>
  </op:property>
  <op:property fmtid="{D5CDD505-2E9C-101B-9397-08002B2CF9AE}" pid="13" name="_IPGFLOW_P-BBE4_E-0_FP-6_CV-B684056A_CN-717525E9">
    <vt:lpwstr>DPSPMK|3|428|2|0</vt:lpwstr>
  </op:property>
  <op:property fmtid="{D5CDD505-2E9C-101B-9397-08002B2CF9AE}" pid="14" name="_IPGFLOW_P-BBE4_E-1_FP-7_SP-1_CV-60AAFC67_CN-327DF8C7">
    <vt:lpwstr>J80E5J0LlzbUUyYBp+YOs9Xq0QAm1fEO5bkQoIYHAX4ImeWy6RysPu2+BIHWumt+O8f7bPJGPe7EKkN2/Xojt+hbFUR6QKfw6k21TIKU/P2pxS+vfSp9sBuGt4+iwNoDU2iIac7EfK4N62I/ngUT7C9Ns3J6X5zL7jvwY9QgIJ/Ot+GoapVIYTCg5LnV8/p9NqlsWJr5LODJh0kxq85h6KdbLOkbmbvaUfcV2GeE8F/15PZfLKvgP7YUOfCN1n6</vt:lpwstr>
  </op:property>
  <op:property fmtid="{D5CDD505-2E9C-101B-9397-08002B2CF9AE}" pid="15" name="_IPGFLOW_P-BBE4_E-1_FP-7_SP-2_CV-61EF11D8_CN-2C5A2345">
    <vt:lpwstr>2WXFsM+4APM2dQQRsTVoYIv0GFeHAew1QMt5v3Zlpr1FRA1kAfCkTy1FKzcsN3/Nj9y7GNWB1uvQBE9Biw2pRmceBANGemHdtR4+fKSFZZFbYT2daeAhMrTDbcvsTF3ZfXgUlNrk0yjjRXA/8APAmcWswslfiSTJmDS5jvhBTB/M=</vt:lpwstr>
  </op:property>
  <op:property fmtid="{D5CDD505-2E9C-101B-9397-08002B2CF9AE}" pid="16" name="_IPGFLOW_P-BBE4_E-0_FP-7_CV-B684056A_CN-ACE3FC6C">
    <vt:lpwstr>DPSPMK|3|428|2|0</vt:lpwstr>
  </op:property>
  <op:property fmtid="{D5CDD505-2E9C-101B-9397-08002B2CF9AE}" pid="17" name="_IPGFLOW_P-BBE4_E-1_FP-8_SP-1_CV-B8398D78_CN-57B4679C">
    <vt:lpwstr>rA1rGRvWg8pZf8iQGal0kGS2tYftblVx6AY19yhO5sMRYcaZhFN4XL9y353Ie2NQJwe4+186A6Rc3TMHQqdXvNG39jJVWotDfn4WNFj3idPAGd7rdE1vvlVcGr+wR+tyXPkPh6Vg83RS6ABcVzoJxIHXvbsBdV54VAhmfWr7mRiNarKuS2xdLit4g0qd91+n9k1FCu/TpmMbKiLUehbx9JtOQbyrtJOr0kScUa9Bogcd08EcMaRZ0VV5sycHuZS</vt:lpwstr>
  </op:property>
  <op:property fmtid="{D5CDD505-2E9C-101B-9397-08002B2CF9AE}" pid="18" name="_IPGFLOW_P-BBE4_E-1_FP-8_SP-2_CV-6D5E6B1_CN-DBEFE725">
    <vt:lpwstr>fLwIVz0Abb4WSYdboSpz2pAr3Ro9DtjSgZ4Z+S6SNJYpZCgF+CG7hQyWgahSx4PSapRpmYpJpC6/w7CNXo0O3GNP8zuv1y/NSu2tzthTNQD/Ozkkpttme1lIAf5oHhYtA9n8pa0yNl7xKxA33CeiyypaKALy2VwsCNXDN9VATvQY=</vt:lpwstr>
  </op:property>
  <op:property fmtid="{D5CDD505-2E9C-101B-9397-08002B2CF9AE}" pid="19" name="_IPGFLOW_P-BBE4_E-0_FP-8_CV-B684056A_CN-8B932959">
    <vt:lpwstr>DPSPMK|3|428|2|0</vt:lpwstr>
  </op:property>
  <op:property fmtid="{D5CDD505-2E9C-101B-9397-08002B2CF9AE}" pid="20" name="_IPGFLOW_P-BBE4_E-1_FP-9_SP-1_CV-DCA1E62_CN-21C745A9">
    <vt:lpwstr>rA1rGRvWg8pZf8iQGal0kAZghz9kWl0SfoV1nzIbtnvYcpwNJH2Gi/EQZ+/MgSq0V0foMYQrCFNfl2f2LL1I78nFMTMMbQRmygb/xOIA4O1VTJeUUFD5sfwPVfVKBa6k4rirRuf6J70TeWdygBnIqcwTyEFuWkodaoIbbYz2HOIr037uraBTsM+7WogXvO4gYsH4pkeDDV6bRhdxbcXbOWcigdc7P6+QGiul0dyrQmvKVavX4arxEG0rfzh7Km4</vt:lpwstr>
  </op:property>
  <op:property fmtid="{D5CDD505-2E9C-101B-9397-08002B2CF9AE}" pid="21" name="_IPGFLOW_P-BBE4_E-1_FP-9_SP-2_CV-A61CC57B_CN-7CEB25B0">
    <vt:lpwstr>Yh+ygHXdRk5oPltedHfT5xnovtu9G4pZquwQ/nMrOU+CQoD/fg2pBQ1DMRrRs4V64euOxEnisHixPtuEFXXx3gTSYzFeMvE/dvDmclqOGhJqzUrvAw55uK8cJcTl2uAJJSOXT0F8mThwIKLvCfpRlHFHItsT0me5dXnYbsGTYbCI=</vt:lpwstr>
  </op:property>
  <op:property fmtid="{D5CDD505-2E9C-101B-9397-08002B2CF9AE}" pid="22" name="_IPGFLOW_P-BBE4_E-0_FP-9_CV-B684056A_CN-5605F0DC">
    <vt:lpwstr>DPSPMK|3|428|2|0</vt:lpwstr>
  </op:property>
  <op:property fmtid="{D5CDD505-2E9C-101B-9397-08002B2CF9AE}" pid="23" name="_IPGFLOW_P-BBE4_E-1_FP-A_SP-1_CV-271DAE8C_CN-27F7BE6F">
    <vt:lpwstr>rA1rGRvWg8pZf8iQGal0kA/4I41xkYc2f4Kwr/F+nbqioAiDhKJZxnn0uxP1nl/2GmsLar9BKAoaNhpwyTlGCKwoarP2Hj0W6UALehaw1CG00pjNi7E6HPABzlsSgZ0XYVeZE5kWNg2N6ZGqU8gGtRGQClnb3fWia2ocjeWVKz5Qn9+leMHF9trXFYhjKdXlIBuAZxkXSBt00g3wa/VIo80HVVTHgYe13+v9HwF+kxX0iIn0XSBP2Mp7naiFcq8</vt:lpwstr>
  </op:property>
  <op:property fmtid="{D5CDD505-2E9C-101B-9397-08002B2CF9AE}" pid="24" name="_IPGFLOW_P-BBE4_E-1_FP-A_SP-2_CV-8D7002F3_CN-6FF23DA5">
    <vt:lpwstr>Jo6/nO/cQI7mRJTrxczYi/3RdHpE8ny5/XUesh3ONDED5jMsma2eLTDYIGKRJfEdu4DcpRKmhCt/50/lRcxY415jvTxXw9eqLnY2/tyQHme1B/w4CxVujBOeZ3xq0Rs13XoNTemyl7eM4ym1o5SGafCZmV/63C69qYs1tU/xMMFc4fhb+KgHT+RwnVqtiPcvM</vt:lpwstr>
  </op:property>
  <op:property fmtid="{D5CDD505-2E9C-101B-9397-08002B2CF9AE}" pid="25" name="_IPGFLOW_P-BBE4_E-0_FP-A_CV-60DDE677_CN-86D0D3AF">
    <vt:lpwstr>DPSPMK|3|448|2|0</vt:lpwstr>
  </op:property>
  <op:property fmtid="{D5CDD505-2E9C-101B-9397-08002B2CF9AE}" pid="26" name="_IPGFLOW_P-BBE4_E-1_FP-B_SP-1_CV-98C1E434_CN-E64F64A3">
    <vt:lpwstr>rA1rGRvWg8pZf8iQGal0kBaNMWwaogBU8siyglqHpFhQOsVGARmrcVPMDnKw2nYe9IyFmYZd+HZ8Wii1wiyXgL4fAEgy8oZ40ueC/FO1+OvHfaa7r4kzGggAVS46b1UNbzAzIqq0uS6Bj46JE37e+z7dQGpIet0MjRNOhIxNgRZQm87KAXcPNm26Gufq4UFlWTNczKmV2654uoyZqqiRzTWRZIguQG75iTIEf8uXfPffLxh2x4+DKrwSOmkNAAm</vt:lpwstr>
  </op:property>
  <op:property fmtid="{D5CDD505-2E9C-101B-9397-08002B2CF9AE}" pid="27" name="_IPGFLOW_P-BBE4_E-1_FP-B_SP-2_CV-76B93866_CN-312B6A2B">
    <vt:lpwstr>GE/HGlCI14L+drvW2HvndquKFPC5XOlUqyuVznj3/YcG4S3hTS5tn40N/gZX/vVyNnaeoSbUsu2uay7RmKgyhyZAhilvMku/O/9IwxnxNa3eNDMNpvHkYmEx1wRMyZ47+m7XHHBeHHp5sajFb7Cx2miqw/vjjTyceA0LMBvzv+SkGJXpaKNiUNRCThgwi91RT</vt:lpwstr>
  </op:property>
  <op:property fmtid="{D5CDD505-2E9C-101B-9397-08002B2CF9AE}" pid="28" name="_IPGFLOW_P-BBE4_E-0_FP-B_CV-60DDE677_CN-3B1ABF61">
    <vt:lpwstr>DPSPMK|3|448|2|0</vt:lpwstr>
  </op:property>
  <op:property fmtid="{D5CDD505-2E9C-101B-9397-08002B2CF9AE}" pid="29" name="_IPGFLOW_P-BBE4_E-1_FP-C_SP-1_CV-77C4875_CN-AC242D51">
    <vt:lpwstr>rA1rGRvWg8pZf8iQGal0kPWTDTdAlDHppxLol6sxX5kG+xvb7lvzpNPCoCXULqNcIr9aMLf1+IpOOn2c/SdOp1C82r9XcPi6ZZP3XO06KSPa0cpzvUCiDq0rjhd2O+UvV7fqCAnuSwjteXbW3nxd8309BPQnFBZudIQ9bvEh4PkIsRVtG7lsaH3x3E9TKoU4ZoX12Hd+2qfo3vWKAN/E4m8tS8jiPLlFHJ1BAOieF7fuz1X/Rd632r1nCzApBto</vt:lpwstr>
  </op:property>
  <op:property fmtid="{D5CDD505-2E9C-101B-9397-08002B2CF9AE}" pid="30" name="_IPGFLOW_P-BBE4_E-1_FP-C_SP-2_CV-9DFEF514_CN-E2C17434">
    <vt:lpwstr>3G5a5ksXJJE7gFdP897H5AEa2cHhBBww8J6sWzZx37SVs+6PrJETJ9SM0Qh9wT+K2SrutOdag9XwsjE2s3/+poctcbElds5MQVq3rWkNVYvKpOA4X5A90Bz07hY8uoM6DBSo8Om1g7ucBJQcKpOFsfXQtv1kbr2kX7JESZiznudg=</vt:lpwstr>
  </op:property>
  <op:property fmtid="{D5CDD505-2E9C-101B-9397-08002B2CF9AE}" pid="31" name="_IPGFLOW_P-BBE4_E-0_FP-C_CV-B684056A_CN-D6AEEA7E">
    <vt:lpwstr>DPSPMK|3|428|2|0</vt:lpwstr>
  </op:property>
  <op:property fmtid="{D5CDD505-2E9C-101B-9397-08002B2CF9AE}" pid="32" name="_IPGFLOW_P-BBE4_E-1_FP-D_SP-1_CV-9C38A565_CN-84BE0AF4">
    <vt:lpwstr>V4yh8u+OnfYPZlfjplZh+o0Ztf0FcPr0trxm4/w08MV/cEYdc0UGNiGNffjwC/XgR2Dca8PqrWAojjNA9RGwlMg0pF2gPRxzPiWhj22R+Tz5fHy3HCmxca1jPfcG98XT7sfZX2CQqNlD8k7v1vnT19yjJOavvhwWlHVY2HYmgOxadcLgnBfFdCXIWxuZcGeAThLNS8D087pByczWOo1xs4J1mECK9zstBlrcxp3BBQDFAxm6bg3PQtmHIWoKD9I</vt:lpwstr>
  </op:property>
  <op:property fmtid="{D5CDD505-2E9C-101B-9397-08002B2CF9AE}" pid="33" name="_IPGFLOW_P-BBE4_E-1_FP-D_SP-2_CV-BF573CE9_CN-5291AA7C">
    <vt:lpwstr>mqHMZ1qDowEpCJwrvb4Emr8wIV6L0U1MvouDyrOhKSn932blOumnuslbnS//Se4aTf311sqrhZi3adCkHr0U9w63olI5zi/75wQW6y+ac72Dr6P/sxaTO0IDU0/fJC00j690R0bpyXxkEwyJZjHJuF4w/SInvD6BZufKOD4v4jkcuU6eojeKS6LJCjCLuCptq0t1mDMmRaRSHfYreiPIWMw==</vt:lpwstr>
  </op:property>
  <op:property fmtid="{D5CDD505-2E9C-101B-9397-08002B2CF9AE}" pid="34" name="_IPGFLOW_P-BBE4_E-0_FP-D_CV-ACF98C78_CN-F7B0789D">
    <vt:lpwstr>DPSPMK|3|472|2|0</vt:lpwstr>
  </op:property>
  <op:property fmtid="{D5CDD505-2E9C-101B-9397-08002B2CF9AE}" pid="35" name="_IPGFLOW_P-BBE4_E-1_FP-E_SP-1_CV-6AD1DF48_CN-138AD89C">
    <vt:lpwstr>Pe4dWOulFF7hQ6babNH4RmJiglaOn6arTxbttNcBeV/ZH3hp38OTkeVM+Q9Ekk4Y7C/gBUnHibYW1bqM+J1YEgt06xz95NtXTDQDYP6BPwjtuRk5mFABdrScKRadAB6fO/oAnqRq37uXywmyZta+KYWD2nhtV7XxWjaLtEBvfAZiQ4omhXap0Oh+BH1u8Ip1FC6XtQqm6DpTFph9ObNl/U79m+NkD3WPeHPqt0J6rRG/WGYq26W6FWLE82FHjdm</vt:lpwstr>
  </op:property>
  <op:property fmtid="{D5CDD505-2E9C-101B-9397-08002B2CF9AE}" pid="36" name="_IPGFLOW_P-BBE4_E-1_FP-E_SP-2_CV-9E4712E7_CN-AECFBF88">
    <vt:lpwstr>1xO12s7O7L3UFsDINR87/r7qjcmYHqnkjbzykHnwgf4uUjxehfNr/N3LlO5HqMnSM2OiFsKnJmrUHTQDS7NIzbwJKi8N0Q1qEMFoyGHt7f7HQoc/uMPgPOxnH/kHfZ2/BFtClfm1Gy+QeXUsx3qA+KREnTQZaJFOORKF44+jgsAfOW1MilVjymd6Vubsv781Ap+2e1W/X8gtb+LonSURuow==</vt:lpwstr>
  </op:property>
  <op:property fmtid="{D5CDD505-2E9C-101B-9397-08002B2CF9AE}" pid="37" name="_IPGFLOW_P-BBE4_E-0_FP-E_CV-ACF98C78_CN-2A26A118">
    <vt:lpwstr>DPSPMK|3|472|2|0</vt:lpwstr>
  </op:property>
  <op:property fmtid="{D5CDD505-2E9C-101B-9397-08002B2CF9AE}" pid="38" name="_IPGFLOW_P-BBE4_E-1_FP-F_SP-1_CV-3722AF86_CN-D85CE8BE">
    <vt:lpwstr>Pe4dWOulFF7hQ6babNH4Rqji+dqBL3VOS7K6PiKcgMmK3DUkmqs+yajc3ntIIkND9T0CEGCtLSwMwpTZoAxNFCbHFwn0laNR4tbb/Qan8wXgtrzHXlr/9kkOjssRaE0ISxE7T74GzhvFadeCGSYK2joCu41XJKceILC8dlDeYOWyA0VPlHnHC0OXM8r6QLHi/mU/lIxowFGvLCEGDWHjsMEG9ApKtoOrAaRiV9MOs3OZRsU7V0zVFxaezhAq+E6</vt:lpwstr>
  </op:property>
  <op:property fmtid="{D5CDD505-2E9C-101B-9397-08002B2CF9AE}" pid="39" name="_IPGFLOW_P-BBE4_E-1_FP-F_SP-2_CV-F33029BA_CN-F963EAAE">
    <vt:lpwstr>4JR7WqxaJNZNWdivZpVcglgtr0HQzQfRl4nag267bkb+SDHN0r1/v2+13uBHjuIUcGYp8diFep9i9tiph7BZjv2fYFYVCUH1Uho5h3GFafpt3g69E2DG1v/z6/EDEkvS3E1CRYukEitksHvkPUhPoNWJikGjui4XsCadv31UDJ0W9iVgwtRpaJBZNWNcQ4n73p7xBnvq0uAMZtoihbvg2qw==</vt:lpwstr>
  </op:property>
  <op:property fmtid="{D5CDD505-2E9C-101B-9397-08002B2CF9AE}" pid="40" name="_IPGFLOW_P-BBE4_E-0_FP-F_CV-ACF98C78_CN-97ECCDD6">
    <vt:lpwstr>DPSPMK|3|472|2|0</vt:lpwstr>
  </op:property>
  <op:property fmtid="{D5CDD505-2E9C-101B-9397-08002B2CF9AE}" pid="41" name="_IPGFLOW_P-BBE4_E-1_FP-10_SP-1_CV-DBD38C71_CN-94D03131">
    <vt:lpwstr>Pe4dWOulFF7hQ6babNH4Rj+mpP9U3RsI+WalR4UC5SDXLTGe3Y4ZDjxkAOuwSCxxCPIzMwcC5sc2Y5aA/c7hbdkEMTU/AFkfjAB8L7NN9wC3qJdoTsQwObW0Pht2xk2+jFBF0X0f5mpUMW/de+N7WSJ7wP/VAst9uu7+s9Tbhy3L/n+MxTAFZq+MdNwPzS5QjCxMxV3+W4aLcD4ZliHryGvIQELS3hrjfCEBwmjUPwZgOgaf2+s6omHDCWdpxBQ</vt:lpwstr>
  </op:property>
  <op:property fmtid="{D5CDD505-2E9C-101B-9397-08002B2CF9AE}" pid="42" name="_IPGFLOW_P-BBE4_E-1_FP-10_SP-2_CV-E74AD2DC_CN-1D133BE5">
    <vt:lpwstr>qjKoZnBzzpFcNazMobEcX4T3vjDzGj93Hzkk1DNgoTZtMxu/74a30N3NCYDjZLwkI34OsXOQzQPYjWPKm78TFg+EIt+RIU0MgVpuUfez+DW+kuxbD+65ClKn0V7afVSgmTswriw9jri2k9zh4w9Ve08PCowiNyTmEPyS/2Pue9KyJ41rF3/FtoGJZNv2enaoyApGEy7W2LsNOHPeBeGvVfw==</vt:lpwstr>
  </op:property>
  <op:property fmtid="{D5CDD505-2E9C-101B-9397-08002B2CF9AE}" pid="43" name="_IPGFLOW_P-BBE4_E-0_FP-10_CV-ACF98C78_CN-EE1C5B5A">
    <vt:lpwstr>DPSPMK|3|472|2|0</vt:lpwstr>
  </op:property>
  <op:property fmtid="{D5CDD505-2E9C-101B-9397-08002B2CF9AE}" pid="44" name="_IPGFLOW_P-BBE4_E-1_FP-11_SP-1_CV-F484F57B_CN-6A4F97DD">
    <vt:lpwstr>Pe4dWOulFF7hQ6babNH4RkXwu6Zt6leKM7Yt2Ny52bcQBrQ3vtonS1r1zKnMmc4s45KAGStgI9cu9Vu3SUIwAC5epXIt/D3WO6NawR6zsRRblvRINvf9FndnQw+m1KrtDE8d9nXgBmI05J447JbmQYSBTsNtHq497Ab//LwgQZSB074vVRmYV5Ol2ftaL+DNOqvDMSqRkZldwEzRAQqMnxfMDm6GKaJ6fSouQiyOb5y3UiJQ1ftXtqOuJp30VZh</vt:lpwstr>
  </op:property>
  <op:property fmtid="{D5CDD505-2E9C-101B-9397-08002B2CF9AE}" pid="45" name="_IPGFLOW_P-BBE4_E-1_FP-11_SP-2_CV-CAC28E3C_CN-3EA4834">
    <vt:lpwstr>aO9cwoYZGvq5D9LG3M95DQBXTf7zUJUt9WAFf9/HrlaF8aINy/6c0skD8+9yCgcmAEeoLPbwDAhSB8vKxN99RxweEET1LVgiRLlDgwFJyvS7ntDEGnPfSvW0YRHmQrs3TsNMSEkR7jEdJBF3uManu6lFMws/EQcsW9FApfXXikAdUvHUO2uSyNO4f+gDC/NZPFAY4nkPBElqe0PbKFkiBrg==</vt:lpwstr>
  </op:property>
  <op:property fmtid="{D5CDD505-2E9C-101B-9397-08002B2CF9AE}" pid="46" name="_IPGFLOW_P-BBE4_E-0_FP-11_CV-ACF98C78_CN-338A82DF">
    <vt:lpwstr>DPSPMK|3|472|2|0</vt:lpwstr>
  </op:property>
  <op:property fmtid="{D5CDD505-2E9C-101B-9397-08002B2CF9AE}" pid="47" name="_IPGFLOW_P-BBE4_E-1_FP-12_SP-1_CV-7D038F94_CN-A89AADC6">
    <vt:lpwstr>KduH6T3szSJ89CujVZYp9YoaV5DL8AkREXTfUB4uK4O4h3CLWH+lXSmvpW+9SnyPOAveKpA+UOdjJiu5d2Gzuj/29zYhP1qORXTKgRZNDxOZMfM0KWyXtp3G2S015zAbj8jdAeM99V96caeZIep62F4VyA5day3aRBOjUVgU2Ym8YlUhC09+ZhI/wYKDP65NmtPToeOaSR2iCSXdVyqeY73HJC67qSPqJUyEt2RvUvuWhCl/MEnvTQLmsx7kZRM</vt:lpwstr>
  </op:property>
  <op:property fmtid="{D5CDD505-2E9C-101B-9397-08002B2CF9AE}" pid="48" name="_IPGFLOW_P-BBE4_E-1_FP-12_SP-2_CV-2F6458CF_CN-6988FDA3">
    <vt:lpwstr>Og7NtikrRA29wXyM/paZXL9y33KlPjjVVX21xWZ7EcXPG8nkOB2kG96FsNGZhQNLNnfLiEP6b/k3hL6JFbpSkUDJsr3yTXGUHlo9I21G2+HrMoWIN5wndy+aqesDw7+0GLaUqfLyYgbkzy3twGgbowyt70ZNvlzXp7elbajegSXQttj5+0z42XWOzMTtyTsYsW96ziN0y6SsjCd9yi9zx4g==</vt:lpwstr>
  </op:property>
  <op:property fmtid="{D5CDD505-2E9C-101B-9397-08002B2CF9AE}" pid="49" name="_IPGFLOW_P-BBE4_E-0_FP-12_CV-ACF98C78_CN-8E40EE11">
    <vt:lpwstr>DPSPMK|3|472|2|0</vt:lpwstr>
  </op:property>
  <op:property fmtid="{D5CDD505-2E9C-101B-9397-08002B2CF9AE}" pid="50" name="_IPGFLOW_P-BBE4_E-1_FP-13_SP-1_CV-9BC5005A_CN-2A764052">
    <vt:lpwstr>KduH6T3szSJ89CujVZYp9RCYWHXLVqiMs+jjwMpNT5Ds/HlhK8FQ0nZk6kCQbwRo7BGkJnlvOVr9jSkJaHD460mo94v4sM6YuRPf3PqSuvFp/i5LdNocoE1iE9BwJ6AVQ9WJhtQ+PYDOPVVpK94uCwitl60xbklqReZvojYKdtp+In98e4oOKlTvzEy7ky68QPmR0D+PHO7iJFHRs+vOzWqlPY3kfW/Pv6tfjU2XdfEFg7xrthbMCIL9YugjCQK</vt:lpwstr>
  </op:property>
  <op:property fmtid="{D5CDD505-2E9C-101B-9397-08002B2CF9AE}" pid="51" name="_IPGFLOW_P-BBE4_E-1_FP-13_SP-2_CV-5F398368_CN-3F88F1ED">
    <vt:lpwstr>dNBhT+aMt9g68ygE+WIGj+wIbHocAGyv//SeBIl1c13QT28xqmHfecAkqboWlBmPnNR6gei3PA4GC+ha5lbTDtjvGvjE56jdvmeoqz9MS3onXn835Snk0bo1pK7WMWVdyX8FJH03ltaoelMOKxFrgDxcTUO0JxxhDBwx3tO25lqcN/lVD6YDRMZI534A0a6GdlggQQz9TphBi7CYtbfnxuA==</vt:lpwstr>
  </op:property>
  <op:property fmtid="{D5CDD505-2E9C-101B-9397-08002B2CF9AE}" pid="52" name="_IPGFLOW_P-BBE4_E-0_FP-13_CV-ACF98C78_CN-53D63794">
    <vt:lpwstr>DPSPMK|3|472|2|0</vt:lpwstr>
  </op:property>
  <op:property fmtid="{D5CDD505-2E9C-101B-9397-08002B2CF9AE}" pid="53" name="_IPGFLOW_P-BBE4_E-1_FP-14_SP-1_CV-408635E5_CN-61C6B8E1">
    <vt:lpwstr>KduH6T3szSJ89CujVZYp9eGuWuXoNLa58Eb0eVGug0lGZHGwyGmolgZLqmpTD6UqzspfSLPV0D+YHbouApY6oniJmim5rDRCbaau50LqHjolz8kSExsWbvEY0xW1CPQJzfHcitLenCfy+w08NJuHqm0I2HaCoyvVtvHL7rFPm+YeA8Ab2SztmHJ1sUv9lucrdqmqsqzmw4I3KYgI1tjKVpL/DtQn5F4XG2IETgX+qICQ7W2aUj+p11kldf0Ylj3</vt:lpwstr>
  </op:property>
  <op:property fmtid="{D5CDD505-2E9C-101B-9397-08002B2CF9AE}" pid="54" name="_IPGFLOW_P-BBE4_E-1_FP-14_SP-2_CV-C8CCFB6A_CN-47842117">
    <vt:lpwstr>ug/ObMWfhA4bmyllT2g6OxH0JMlfuJKTJNpo+WHmsDpuA4xJmvc+IEUNqo16xotoB+Doha5GhcLgbP18MJLHl9ZD4byeFdQRDpa4RSI5J5SE+MYl/aXntTUHxqSL84md4UhD9NteZBfHTDWZZCilXuOMz69lwYxjodRe+VwShB9Y2I0t9duftDKjpz7lxXbv1k7wo4Ou9u2uEaKQTZxFgYQ==</vt:lpwstr>
  </op:property>
  <op:property fmtid="{D5CDD505-2E9C-101B-9397-08002B2CF9AE}" pid="55" name="_IPGFLOW_P-BBE4_E-0_FP-14_CV-ACF98C78_CN-2EA531CC">
    <vt:lpwstr>DPSPMK|3|472|2|0</vt:lpwstr>
  </op:property>
  <op:property fmtid="{D5CDD505-2E9C-101B-9397-08002B2CF9AE}" pid="56" name="_IPGFLOW_P-BBE4_E-1_FP-15_SP-1_CV-52C5D8CB_CN-95EFD00A">
    <vt:lpwstr>KduH6T3szSJ89CujVZYp9SBECLeDEmLDcH4ED6z23Cjm43UX6yG7rPma1q37fEg0fDUcxUpD2uae/l/zihuMrV/vrJuU1O7+EhBdtmYIcDziRnPO3AS+gIVKd9b93Cc0uLPlh76LfeG4TPkK9uCMfJaaadx8c4DWX9WXIftHFCviJbrRFElhWeux65t8beSMbURUbj9TlnYr4KJFfdbmtwexgcIcdeIpcXVrURrsaPWZiBD5uvUxquOZc9mAaCJ</vt:lpwstr>
  </op:property>
  <op:property fmtid="{D5CDD505-2E9C-101B-9397-08002B2CF9AE}" pid="57" name="_IPGFLOW_P-BBE4_E-1_FP-15_SP-2_CV-939D5D88_CN-45852B35">
    <vt:lpwstr>9RbNIYVD2XJHbONigx0Kl5/1ldaRIZhyKtq/0seDn7KyT7Nwts3VHG0G1IDLlyY8+8Tv/euTgy2Z4xCM+If0wLQvl5o4ozsqZnHogEnqYR1o5MuM8ORMPtci2a43g/2ovXj3OxPOrqq5RLHsKj1k/jybtdG1U8qC/del6RsEW2mW/YeaKzFSGmvrmGpeDFzGYok06Gps04bky4J0cY5ZPIg==</vt:lpwstr>
  </op:property>
  <op:property fmtid="{D5CDD505-2E9C-101B-9397-08002B2CF9AE}" pid="58" name="_IPGFLOW_P-BBE4_E-0_FP-15_CV-ACF98C78_CN-F333E849">
    <vt:lpwstr>DPSPMK|3|472|2|0</vt:lpwstr>
  </op:property>
  <op:property fmtid="{D5CDD505-2E9C-101B-9397-08002B2CF9AE}" pid="59" name="_IPGFLOW_P-BBE4_E-1_FP-16_SP-1_CV-7CBAB813_CN-AF3D4122">
    <vt:lpwstr>KduH6T3szSJ89CujVZYp9Za5jXpgU2ecdEyLkt8velaBgdHe8WRdSkRMKQ5C1eZMVx46bsZFVmexFoON1pL/xVzebJPXV8QLxLYDnuRDnGZ/AZpB0ejCcS+IGPQmLpJVHuyEvrsQMDxhr2XBiVTJ9TMkZeYiVYoXPpXHc/oIjit3lY03aZIH2euJ4DphWjM8GpPy9I9/cROOhVWD9JLoB2xKQbpLsKDraLHyRWcpU+mm6zcP+2b5009jQwivzcQ</vt:lpwstr>
  </op:property>
  <op:property fmtid="{D5CDD505-2E9C-101B-9397-08002B2CF9AE}" pid="60" name="_IPGFLOW_P-BBE4_E-1_FP-16_SP-2_CV-70D6EBBF_CN-B2104221">
    <vt:lpwstr>UjuFbYs87MPthmFbL4InW4XMVQOyANl0h4KkOW01zPkocVgw8IFJ5B4Pwihz2iKiGuXy1CK7BLKAKdhLCmg4wt/Nb3sJjOlKcwKOmXx+4wZmuhzgWq1e9MnMx9WQc1tONrAFjL91p2b0dbFCihWDqsG6eiO0EZOQ5Nt2PAPk7ko3IptZrozPf21eraB/K06efs4tNOC+O9sIu4+Eraze1PQ==</vt:lpwstr>
  </op:property>
  <op:property fmtid="{D5CDD505-2E9C-101B-9397-08002B2CF9AE}" pid="61" name="_IPGFLOW_P-BBE4_E-0_FP-16_CV-ACF98C78_CN-4EF98487">
    <vt:lpwstr>DPSPMK|3|472|2|0</vt:lpwstr>
  </op:property>
  <op:property fmtid="{D5CDD505-2E9C-101B-9397-08002B2CF9AE}" pid="62" name="_IPGFLOW_P-BBE4_E-1_FP-17_SP-1_CV-1A6B7687_CN-465CD89E">
    <vt:lpwstr>KduH6T3szSJ89CujVZYp9QzPReKc51BDg8p8Tl29TtSNUd5SGtzSFkI54P71hu5tdL2Gb2CeCE6FsQQrc5Vo46V+dTfvLbubTYlGVNBgro+fcxkJXC4pA9T9fE+aaFhcJOQlvHNAILTWGvc+0W5/h/nHLWawC9cwmyK0f7QYA9EN+EgYQaWUkKh34FoctvV8CNiueVbOXbH8FTRuNbauKRqCSr0SCJg1YFO//OSUcCL16b78T9/v/JZLPnuxOSk</vt:lpwstr>
  </op:property>
  <op:property fmtid="{D5CDD505-2E9C-101B-9397-08002B2CF9AE}" pid="63" name="_IPGFLOW_P-BBE4_E-1_FP-17_SP-2_CV-6B0D1878_CN-A170C2E1">
    <vt:lpwstr>CK8hZtBe1M7lXbC61JyUv+pR1u3cUsmd4oH8jx2m9ymi2m4nuEiDoyTlVoGGlcy/gJcd6MIFoY2V0VwuHYa6KCTgB4J3SmGuJ9v0nqhZJSnoY4bn97V7TiPUbgvA/28xtPrQLdM4fhDjZSyRIL/0Z5SEu5DgW2nfNwZcu/L7Wcrg8gOQqyTjvj/u0J2+VyohvqbXvnSiwgj+w6nbQ0k46cQ==</vt:lpwstr>
  </op:property>
  <op:property fmtid="{D5CDD505-2E9C-101B-9397-08002B2CF9AE}" pid="64" name="_IPGFLOW_P-BBE4_E-0_FP-17_CV-ACF98C78_CN-936F5D02">
    <vt:lpwstr>DPSPMK|3|472|2|0</vt:lpwstr>
  </op:property>
  <op:property fmtid="{D5CDD505-2E9C-101B-9397-08002B2CF9AE}" pid="65" name="_IPGFLOW_P-BBE4_E-1_FP-18_SP-1_CV-60881A59_CN-5F52452D">
    <vt:lpwstr>KduH6T3szSJ89CujVZYp9YSloM6ramg0aCBP9HyeBANRzm3V7BZH4xNT7if82j6i0NMtDnIO4fqqUQ8ktX9PPsGIaVOM3UyDuRV5cqvidN8JPKTSR1v2+nNAE6NVv0AtjVHPl+FgRG0zclCrGtr1zKCw0953On/qerfn0kiJil2LCQC+Bpp1sejxR8NwstzqF7IkBnuMI4zYBv9kL98gUEMKx6e6pE6mMmpwNYyp7bG2Sc8JfkuIy798ARlNs4j</vt:lpwstr>
  </op:property>
  <op:property fmtid="{D5CDD505-2E9C-101B-9397-08002B2CF9AE}" pid="66" name="_IPGFLOW_P-BBE4_E-1_FP-18_SP-2_CV-E8C852EB_CN-A3709CE9">
    <vt:lpwstr>POPI0F1nrdxB7gfmykvzpZg0v387qoo32ZBmce9opnfzP202xhBPKaauXQNph1ons3ED4SMFWyQn0MmeR+SBU4KldnbQ/Lr4eakC0naSXK2Tu6TMhOAlemJqFR/CHqCiNcyumdXW2+OobGcfoUnYceBlip9r9HCOPoqFeyttIGV/MQNR40XMe1CjMJdwfIyqKS2cptZJAoP3Bqriv88wqcg==</vt:lpwstr>
  </op:property>
  <op:property fmtid="{D5CDD505-2E9C-101B-9397-08002B2CF9AE}" pid="67" name="_IPGFLOW_P-BBE4_E-0_FP-18_CV-ACF98C78_CN-B41F8837">
    <vt:lpwstr>DPSPMK|3|472|2|0</vt:lpwstr>
  </op:property>
  <op:property fmtid="{D5CDD505-2E9C-101B-9397-08002B2CF9AE}" pid="68" name="_IPGFLOW_P-BBE4_E-1_FP-19_SP-1_CV-F13E2D8F_CN-B0C8C2B0">
    <vt:lpwstr>KduH6T3szSJ89CujVZYp9T2iZXE8fNxnCalWpCIeY1ehQuDyQSFUaxUHfpIyDlogcbZqHdBan7i/R/uJ2/clL5jpuPItTDfjgPSHP+vUSCoDY/OSJRxIH9EtFZmloBdRwtp+l56xcE6Ia+UuQE9zcjyLU7BJq3IchsHNGxOb9oJR9TrevZhlHc0dyCjgnC54rhW2av/iJeWv1XulexeincyMY8fy/hmwKvVDjicnddARIwEEteE+a3mJzx1RQNV</vt:lpwstr>
  </op:property>
  <op:property fmtid="{D5CDD505-2E9C-101B-9397-08002B2CF9AE}" pid="69" name="_IPGFLOW_P-BBE4_E-1_FP-19_SP-2_CV-701E1104_CN-B01A0A82">
    <vt:lpwstr>zN2gxadAsvECWn2MHtqnvUoY6n0zdFT8OxGL1P2GPA4VtE3r/NacKFAlE8erfP04BntYPsC2KyiMA6UGgjY7x1kBGkdFtnCGn0dakDAdGLYjBb5erKbbt0BfkDV71B97jPe9ScbzGZ0R3zyJMbrom2eQXk4sa1GH3DugS8h2Tf91a+HLYXd9aD8azKwx0zZdi+YF8EMqs79eoTMIRvXJOoQ==</vt:lpwstr>
  </op:property>
  <op:property fmtid="{D5CDD505-2E9C-101B-9397-08002B2CF9AE}" pid="70" name="_IPGFLOW_P-BBE4_E-0_FP-19_CV-ACF98C78_CN-698951B2">
    <vt:lpwstr>DPSPMK|3|472|2|0</vt:lpwstr>
  </op:property>
  <op:property fmtid="{D5CDD505-2E9C-101B-9397-08002B2CF9AE}" pid="71" name="_IPGFLOW_P-BBE4_E-1_FP-1A_SP-1_CV-36EE6E9A_CN-9B42EED0">
    <vt:lpwstr>KduH6T3szSJ89CujVZYp9X8PYfrNcUFdnXXmgnQA09h3dzV4yKVh78o19DIzyd/ExCZ+K4MrOlWeHgiJ97yUjFrIdIXq6ORH/Jd9ZnhVC3xiaoXyxtGdYh9FHTBfo3CuoAnauPLPPFqgR7BViZKA6LdwAd5twkWF2SQ+tjnKFBb76IvIR/c2lvhRacfRrwtsjTpmX6lLO9kg8IJbZO5YDEXp3KBVMShp7qObn5/E9wAsz6hWxp1wGgjqotOtH17</vt:lpwstr>
  </op:property>
  <op:property fmtid="{D5CDD505-2E9C-101B-9397-08002B2CF9AE}" pid="72" name="_IPGFLOW_P-BBE4_E-1_FP-1A_SP-2_CV-4CBD0866_CN-82C3310C">
    <vt:lpwstr>d/aKY0BhO9tFc70Tn8cvlOBeB1rPNQ+b1XXDsXIVLr6PnOVePUy7yIV/rUa8Lol7xLe/NcFjeKtnq2oqxuo1DCy50492sdKPz/9k30YAr3TDDchwf9yG7gmtVeM60YYX+PFKeeBEwxRC4WoD4s7m6DQsb2ys6O1DoshcZ9V6GWG8=</vt:lpwstr>
  </op:property>
  <op:property fmtid="{D5CDD505-2E9C-101B-9397-08002B2CF9AE}" pid="73" name="_IPGFLOW_P-BBE4_E-0_FP-1A_CV-B684056A_CN-D5136AE0">
    <vt:lpwstr>DPSPMK|3|428|2|0</vt:lpwstr>
  </op:property>
  <op:property fmtid="{D5CDD505-2E9C-101B-9397-08002B2CF9AE}" pid="74" name="_IPGFLOW_P-BBE4_E-1_FP-1B_SP-1_CV-FAB1E3C8_CN-78137720">
    <vt:lpwstr>KduH6T3szSJ89CujVZYp9crnB1JbrJx/oKwJdqCjIBIUEwDEhmVlN+2Pyyzbaj/qhl7Bb9CTOR3e/6wreXDBXsBg+gut1CiS9GKdeuXghYIifDdViXTpLeDwBr6iFRVi9oyixahvQ5FyCYuLLsrCY/c9ksm1NaOSXZLEzpCKn1AP5PaBh218xNSDg7t8S0rkudhd/Y+3Y1OZzzlcHkkKS0OeeL+XJ4XiZktoswVYG0sukYOmVmsHyqlQtxrr1v5</vt:lpwstr>
  </op:property>
  <op:property fmtid="{D5CDD505-2E9C-101B-9397-08002B2CF9AE}" pid="75" name="_IPGFLOW_P-BBE4_E-1_FP-1B_SP-2_CV-2A57FD7C_CN-BB2B8920">
    <vt:lpwstr>99Q/59hcwCraIzmPFZ1sTKSzH1hrL4JFrBwBIwuqy+g6wB/t2ANZOZ7pJbBF5mTfLyO29sDeyD4xv8LzDt/rrciPIeJiAAmOwI4oBSfkeFfMGhGrcXX8Tkj5umG1C8YAVw7zpVKXXvjxcHIZ4QVXN4iOxhvmuBRnO1VT597aNTetWRxIsgMCWJ2+xqPhtLYr8mPuT3YA3DIzEtZ9kp6GYBg==</vt:lpwstr>
  </op:property>
  <op:property fmtid="{D5CDD505-2E9C-101B-9397-08002B2CF9AE}" pid="76" name="_IPGFLOW_P-BBE4_E-0_FP-1B_CV-ACF98C78_CN-34B49295">
    <vt:lpwstr>DPSPMK|3|472|2|0</vt:lpwstr>
  </op:property>
  <op:property fmtid="{D5CDD505-2E9C-101B-9397-08002B2CF9AE}" pid="77" name="_IPGFLOW_P-BBE4_E-1_FP-1C_SP-1_CV-AC25A0EB_CN-9F17645A">
    <vt:lpwstr>KDodd4hLpm8utMmuR7iGhp+MXXwQhCTu/oxcxGA0nq/JgLgww6KF3R/VkQEcQNmUGQpG27R+56k80/YCfUBcB831/Lv6bQgmZPmCERcB3vmxs/1/qFcUbYIvZDRwL3Cigd26ANU03DGNxBcnF772rlwbPySa66QHsNDqBxfPVH+RAiIZc5Gim37tKpnuu1KfvG8OtFRdkK/KJgaHTwyhsEP0c2XhJf1gDqzFf6pI1E+u4FGbQzA+CfqfT7mWepz</vt:lpwstr>
  </op:property>
  <op:property fmtid="{D5CDD505-2E9C-101B-9397-08002B2CF9AE}" pid="78" name="_IPGFLOW_P-BBE4_E-1_FP-1C_SP-2_CV-144B8CDA_CN-FA7BF187">
    <vt:lpwstr>/j5o5u0bcWvf2eGwrwH3MjGr7kv3N6mr3NyCk6srxiHoJCa17iUMVY4mG6HHXWurIQdzy6fhTQrD7u1PcbBFJdmuAQfDt7GyvI66jvqzNyNFhb2e7aJf135mgJkqyIpTAZKldTaqBiCJiJxOWoFaJ9LRRXuasAYEjZ9pGEN27o7CbZjoHfwyynyH1PHMwWxVt6Uh+Z/jitQ+G2e8ni9x0hA==</vt:lpwstr>
  </op:property>
  <op:property fmtid="{D5CDD505-2E9C-101B-9397-08002B2CF9AE}" pid="79" name="_IPGFLOW_P-BBE4_E-0_FP-1C_CV-ACF98C78_CN-E9224B10">
    <vt:lpwstr>DPSPMK|3|472|2|0</vt:lpwstr>
  </op:property>
  <op:property fmtid="{D5CDD505-2E9C-101B-9397-08002B2CF9AE}" pid="80" name="_IPGFLOW_P-BBE4_E-1_FP-1D_SP-1_CV-C81B33E0_CN-626E65BD">
    <vt:lpwstr>KDodd4hLpm8utMmuR7iGhi3dlBH4q+DHGx/EM/nY/+2uMOyXn7onM0ui7sPi2FA4QOmo+fhCJ9BRwR0b3qIMBzPlWkT+ZeE6SWgnzamN+5dhcSLE4713Px1+FbmFLAJRsUWFh4p5VVdtSTs17HDTQoLXHS9UFkAR0gH+gmTyeVlheYcU2GS5rMKoZz4p38b6/8W08ogBg3Y3zsuKRwiSw07O9y6KEsOYsDOEMxxVpdo9xhoFUBpiTmPA1sA7dUs</vt:lpwstr>
  </op:property>
  <op:property fmtid="{D5CDD505-2E9C-101B-9397-08002B2CF9AE}" pid="81" name="_IPGFLOW_P-BBE4_E-1_FP-1D_SP-2_CV-3CBB920B_CN-921174AD">
    <vt:lpwstr>/OAn4xy6LilRJPzN/zxkZoRBimMFAyEwggH8nPvd1gkI4Pd3y7xYzTTypaDXWSFbDIL8AHXbWTAE4hYxUYUZS5SXU6pX/jWISWQ29IB7hXn0R5g7zcocXYikBkzeMY6gCt6Vz+S+vOTDfuqCbpxh+Zgfu0lrxoHkXDuNZMqHeTGFV5l2tWPZVqmuLQ0XZ1aDUV/JdqiLZxPKTQvNnjnStTQ==</vt:lpwstr>
  </op:property>
  <op:property fmtid="{D5CDD505-2E9C-101B-9397-08002B2CF9AE}" pid="82" name="_IPGFLOW_P-BBE4_E-0_FP-1D_CV-ACF98C78_CN-94514D48">
    <vt:lpwstr>DPSPMK|3|472|2|0</vt:lpwstr>
  </op:property>
  <op:property fmtid="{D5CDD505-2E9C-101B-9397-08002B2CF9AE}" pid="83" name="_IPGFLOW_P-BBE4_E-1_FP-1E_SP-1_CV-6BCAF89D_CN-A4882947">
    <vt:lpwstr>KDodd4hLpm8utMmuR7iGhoBkx7QDXYEbB3EvFEXF73gWg+4/wnA5spBW7UifpoG8uSnoe4rpUG3pFgn0Ds9XYQgm8Zp9CacZgDwRS/jXp7wtGzTUje1s9Wc05j/ZO78Nho6uq4Bp8fdgeiZ6kL/3NsfOPvW6/Wrh0RIrrQQVfBMfQpnGoSwuCMhxwcKyErDe9UhH3Ay0v9fqRSzPTPk6HAQ8viUKaQn/8HUUGp+Lj6e5CvP4b8cjvZODlT8qmKZ</vt:lpwstr>
  </op:property>
  <op:property fmtid="{D5CDD505-2E9C-101B-9397-08002B2CF9AE}" pid="84" name="_IPGFLOW_P-BBE4_E-1_FP-1E_SP-2_CV-F92A2118_CN-E1E535F7">
    <vt:lpwstr>J+jOrWfRHs7pTSk2wbCcH8uonjGEyX/VVh+H1o25rGY3edyIuDOgwVaPV4c3bstQiUiG0eXI1/qANXRoaWZewJ4YfbPeuLJp+ffuhPVxh3FND5I1ymbuv2N/Sq9wQjU0w3+b9aSLPkuX4OUykdPhC51MTtu/CKDud4AZ1EzQ6Evz9OrVv5oOu/UJAp3/5F1ukIJWOehrUVDJ6M/TMgtRPkQ==</vt:lpwstr>
  </op:property>
  <op:property fmtid="{D5CDD505-2E9C-101B-9397-08002B2CF9AE}" pid="85" name="_IPGFLOW_P-BBE4_E-0_FP-1E_CV-ACF98C78_CN-49C794CD">
    <vt:lpwstr>DPSPMK|3|472|2|0</vt:lpwstr>
  </op:property>
  <op:property fmtid="{D5CDD505-2E9C-101B-9397-08002B2CF9AE}" pid="86" name="_IPGFLOW_P-BBE4_E-1_FP-1F_SP-1_CV-B85C53FC_CN-CAAB499F">
    <vt:lpwstr>KDodd4hLpm8utMmuR7iGhqyLPkJEvnCdm7L/HamDG4IsvKPsHRUQtLI2u8zl+Fz5wETm50Z/wLyey4oUBDrbjbpbswwEf1z/LqWeESqd4+iloq2Z6fb3tPmU9olHtaMoRk3N5/Ajq/Yk/xSeEH5mJtX1V9aguSrKWevydFBJj7ucN0USOBjXvyCcr8GjIRmJNMZYTogxvCZpZp6WzS3a8LpYT6tYhE70lzoTTpXdcgMEcFDW9UbBlk0C3V9jOAX</vt:lpwstr>
  </op:property>
  <op:property fmtid="{D5CDD505-2E9C-101B-9397-08002B2CF9AE}" pid="87" name="_IPGFLOW_P-BBE4_E-1_FP-1F_SP-2_CV-E9379CE1_CN-8AD916D5">
    <vt:lpwstr>Joj27Z4O7dfe/lEoTDT89KOOlaG9Awg6pWsiCKyITyyqtcT2aCqORFKYhOWbojbCPpkkQkLm9/q9NDjj9cBvMzjHRGvkD6pNtpABRv7fGp+HcBalSyrykRs7ohVdTdPPBc7BVdO87W73UUbOoeM0j4cX9PqUcmzNsH8JeMKEC+X6PspgBT5DOD6G1ma8mf52NMHfrBgpanxbIyN2DTSQNjQ==</vt:lpwstr>
  </op:property>
  <op:property fmtid="{D5CDD505-2E9C-101B-9397-08002B2CF9AE}" pid="88" name="_IPGFLOW_P-BBE4_E-0_FP-1F_CV-ACF98C78_CN-F40DF803">
    <vt:lpwstr>DPSPMK|3|472|2|0</vt:lpwstr>
  </op:property>
  <op:property fmtid="{D5CDD505-2E9C-101B-9397-08002B2CF9AE}" pid="89" name="_IPGFLOW_P-BBE4_E-1_FP-20_SP-1_CV-8FABF0BE_CN-743E76A8">
    <vt:lpwstr>KDodd4hLpm8utMmuR7iGhqPFEJNAJ8QymtDLC1lytdtXh8hbGL2lTTTYXx8FXTaWef//13MiBIDzhLWbQ34otf5nJGMO32/aJ4T3yn+XqcLGPN1dBIs1hTj+QevBCrHfEhkPV7pqyjwcJynqJN2vIcRmUIAG3a3L/W0x2c+dL8zWYKCvZNvNq7aNTm7qE4KXVUIqrGtCdi0DFwin/wS93CvRR3lLuYzolb37BQm55EruW5chGDUBtFlr9fZHxTl</vt:lpwstr>
  </op:property>
  <op:property fmtid="{D5CDD505-2E9C-101B-9397-08002B2CF9AE}" pid="90" name="_IPGFLOW_P-BBE4_E-1_FP-20_SP-2_CV-784ABA72_CN-F6B4B902">
    <vt:lpwstr>NX97pyL3uQqABrvXgKBQYe07+WEdmnPUbMyA+a/KaDNK0T9RRTHYcT7M4BqYLkitRd0dTD3GA8ChaWj5cgaEDnw==</vt:lpwstr>
  </op:property>
  <op:property fmtid="{D5CDD505-2E9C-101B-9397-08002B2CF9AE}" pid="91" name="_IPGFLOW_P-BBE4_E-0_FP-20_CV-608A35F8_CN-A0BB3055">
    <vt:lpwstr>DPSPMK|3|344|2|0</vt:lpwstr>
  </op:property>
  <op:property fmtid="{D5CDD505-2E9C-101B-9397-08002B2CF9AE}" pid="92" name="_IPGFLOW_P-BBE4_E-1_FP-21_SP-1_CV-5D98934B_CN-15FEF633">
    <vt:lpwstr>KDodd4hLpm8utMmuR7iGhn9An78b3ij28B8HYsD23JMtvvnozybU7HwBKHQGQy77OtzWKEd8ozxedN/f5gWkKOPVu0WHoGwOWNZJ2MJ6d99YwK0fbq0JvM9NNnN1I91s6z9c6yRY6DaG6wZRFK0bv23rZTyn2lW/Hrd9Nm9Gg8RRU+NGpbgQZ4ZnDaBgCVFryAASKy+xT34yVNxMyOt9wNF4HjuSZb/3AMmTJzfmVMhcgj3m370XMBXPTajn1BR</vt:lpwstr>
  </op:property>
  <op:property fmtid="{D5CDD505-2E9C-101B-9397-08002B2CF9AE}" pid="93" name="_IPGFLOW_P-BBE4_E-1_FP-21_SP-2_CV-5C63D78A_CN-40F5E99C">
    <vt:lpwstr>H+92GwjqtngIjpbfRsMUM4a/F6H/OtVcIBJyBojwTmmId7x/SEbJ7+nxyuUY+59a8wXRIGE5ezGwlof4juQZvNGGcLEQOCVMaUPXZzjo2ffUrv3S4khsYgCNWsUJuUuNwlRiYWd9Sm8yYhooqRivfPQPUdnkkIqvPEBgektNutZ1jyCdbDL5E0w6hYHlCNmtf99i3SiahEHKDkku9myapbQ==</vt:lpwstr>
  </op:property>
  <op:property fmtid="{D5CDD505-2E9C-101B-9397-08002B2CF9AE}" pid="94" name="_IPGFLOW_P-BBE4_E-0_FP-21_CV-ACF98C78_CN-4FEBA704">
    <vt:lpwstr>DPSPMK|3|472|2|0</vt:lpwstr>
  </op:property>
  <op:property fmtid="{D5CDD505-2E9C-101B-9397-08002B2CF9AE}" pid="95" name="_IPGFLOW_P-BBE4_E-1_FP-22_SP-1_CV-1593E013_CN-3F27DBB7">
    <vt:lpwstr>KDodd4hLpm8utMmuR7iGhmau4pyxXw3hrSoFnLkhxTrMj5bzIEumzsrDcvzAhNlzCtz61CfHUVuVnTeVX1WcU2RLyj45YEl0rwhM+spnuYNDmPXLaa8B9mvY2lqJJi3aZ1n4CDvJ8nFihoqUluJmsARVze5abQCu1NC8/jvL06hy7KyN25pbvDN6Z3Z9cdPNRimlW8es5Y4pvjterFlhLqnHshQaKWkqK4L8i0cdC0h+6yKeR74kLAeKyoVAjgF</vt:lpwstr>
  </op:property>
  <op:property fmtid="{D5CDD505-2E9C-101B-9397-08002B2CF9AE}" pid="96" name="_IPGFLOW_P-BBE4_E-1_FP-22_SP-2_CV-F5F8DA33_CN-7665A675">
    <vt:lpwstr>75vN2fXEZypl1NtRrU0w6EiHZMX3Q0uhSBraFFzhew8M8DClotUDzTDO+ygaSI/C+B9VpJoyfWt+Cx9amNeR2Mi8ZIQEIEiZKkckLfEFjPiM/zZuqf7bl9p3qsieoNd7XKD88/78BdqYUwMVOiCQF70A8D4zwFtn8kDiEN5+NvPHS8dsKB6C6qdkiq1wVG+an8X6l91v4obsn7e/kmbg90g==</vt:lpwstr>
  </op:property>
  <op:property fmtid="{D5CDD505-2E9C-101B-9397-08002B2CF9AE}" pid="97" name="_IPGFLOW_P-BBE4_E-0_FP-22_CV-ACF98C78_CN-F221CBCA">
    <vt:lpwstr>DPSPMK|3|472|2|0</vt:lpwstr>
  </op:property>
  <op:property fmtid="{D5CDD505-2E9C-101B-9397-08002B2CF9AE}" pid="98" name="_IPGFLOW_P-BBE4_E-1_FP-23_SP-1_CV-CCEFCC29_CN-444E8FA7">
    <vt:lpwstr>KDodd4hLpm8utMmuR7iGhru3a99oYmGcvdkIJpGLXVdVxgaSTW3COyeKmCSfH/5g4x5gqHvkUcUulXgRmctp6ZHe6iQmC8FrGoKJuGiMFz55mtB4cTNwsPPgJqymP/e7XI0PrJDM8veaUbKmGnAZHb+4O3C+hm+KoLQoPvwlQjyO6bac6MGvyU1rDLd4WxccTy/ct5jz4la7lqLQamlPPw81o+aVYqbUEEi5acWtpyAD3SRjcOljogciVsWbBKU</vt:lpwstr>
  </op:property>
  <op:property fmtid="{D5CDD505-2E9C-101B-9397-08002B2CF9AE}" pid="99" name="_IPGFLOW_P-BBE4_E-1_FP-23_SP-2_CV-F116F8D8_CN-C2EA1A72">
    <vt:lpwstr>C78GY3fPHwuwpy62HeJBNh8q2M0PGmZRmCdzmVqvx3xZ/jkFSw70ybhy7vDRx/yrIpYIJbrmwVmQf2GsNaGK9iWeE9MzzNFVBMfWNKnV4gQtD6P1Ep6t9MpkjRKXu/dg9toHpeAZqN5LAWUK3+pBkkDbguTCzn0JMqX2uJpK3g2pZfGygkpR1pEJIOhH3njO6fZ37B6YA5tSFBysPfFS+iw==</vt:lpwstr>
  </op:property>
  <op:property fmtid="{D5CDD505-2E9C-101B-9397-08002B2CF9AE}" pid="100" name="_IPGFLOW_P-BBE4_E-0_FP-23_CV-ACF98C78_CN-2FB7124F">
    <vt:lpwstr>DPSPMK|3|472|2|0</vt:lpwstr>
  </op:property>
  <op:property fmtid="{D5CDD505-2E9C-101B-9397-08002B2CF9AE}" pid="101" name="_IPGFLOW_P-BBE4_E-1_FP-24_SP-1_CV-4E88D4AE_CN-B3398F">
    <vt:lpwstr>hJOncxacbEdkW7GlKmyg56pOxrl8GJMnbiYE0UTi/1pZVrBkdiNMNOt+jyW9Vk9ehgt2mYhHahSFLmgmk+1ga35iL+abrK5Pi6rxu79zQ4otcNyD2exNlN3+HNdfpAACvfJmYUxMeHVyIrn+NgqPSpSHv1k9ofRR29ZZumoNO33LMlsGTi4Z8qX2hC++LKGWmKUWQ3GLdNy5KR0bCUGw4ZOnrvGro9NIpPHUU4J5uf4hSHzxIIlWQiB+59K2MO4</vt:lpwstr>
  </op:property>
  <op:property fmtid="{D5CDD505-2E9C-101B-9397-08002B2CF9AE}" pid="102" name="_IPGFLOW_P-BBE4_E-1_FP-24_SP-2_CV-9C87913A_CN-420687BC">
    <vt:lpwstr>WMpGEAvDSvuYIzW5zBS20yOqN9bifPdgMeNGPre3WoILN4V8hq2mSu8wuUhYvbV3xG8CzMQ5dGR07PBFsr0zJIo547zPzOjrMywQJgajgTEnvupFgfQrYS8DkJF0cQsixRQkod7qzSXC4l74i1kYwzt0WRubEFgEVFhHufgPZjJRGMx0WnikYv0Rx7VGxOmA3n8EZwt9nwthST0XRPv7XZg==</vt:lpwstr>
  </op:property>
  <op:property fmtid="{D5CDD505-2E9C-101B-9397-08002B2CF9AE}" pid="103" name="_IPGFLOW_P-BBE4_E-0_FP-24_CV-ACF98C78_CN-52C41417">
    <vt:lpwstr>DPSPMK|3|472|2|0</vt:lpwstr>
  </op:property>
  <op:property fmtid="{D5CDD505-2E9C-101B-9397-08002B2CF9AE}" pid="104" name="_IPGFLOW_P-BBE4_E-1_FP-25_SP-1_CV-FE539356_CN-D49FC9FC">
    <vt:lpwstr>hJOncxacbEdkW7GlKmyg58ARUwWBzGKq7C84iNPvoXHjbrgtS0183348jGZFuMD4Wgp5I63kmOV4b8sQiSorlv99Ydk+0pusK7A4FSsl9GhMsPkd8/NRlCU66ITn6VPVud+4xxqTiw06ZbFROFo9S60F0ZVO1hyGp78b7jTnnQQplEQvw9zS5I+rvyP0c/n/O0OySNFjUT+ak6zZoeyuQ1Nr+ZDU9aGS47Ai40MrMh8o02BN+ib3x7YLbl9J7xP</vt:lpwstr>
  </op:property>
  <op:property fmtid="{D5CDD505-2E9C-101B-9397-08002B2CF9AE}" pid="105" name="_IPGFLOW_P-BBE4_E-1_FP-25_SP-2_CV-12A38C4_CN-364D0A07">
    <vt:lpwstr>5yK5pnDDDEEjR8c+IX5ZC673acbQdVESFLQuuePQ0Gea0ThMPitIzajedqNWDchFZbZrp7CwVtJS9hsgAwh6QvO3JVtBfN6eBXGDOsmyvynMW2DQSmlnV5L27F/3GhJe3BnBSKfgRpoKE/e+xFF3l3jPPvSvAs7mC4JdYEmmPhYLRron6T6e6zAUHHDygszRFTb0B0wk36sbEysRi98+TiQ==</vt:lpwstr>
  </op:property>
  <op:property fmtid="{D5CDD505-2E9C-101B-9397-08002B2CF9AE}" pid="106" name="_IPGFLOW_P-BBE4_E-0_FP-25_CV-ACF98C78_CN-8F52CD92">
    <vt:lpwstr>DPSPMK|3|472|2|0</vt:lpwstr>
  </op:property>
  <op:property fmtid="{D5CDD505-2E9C-101B-9397-08002B2CF9AE}" pid="107" name="_IPGFLOW_P-BBE4_E-1_FP-26_SP-1_CV-37702CEE_CN-CEF52792">
    <vt:lpwstr>jziomC3/S5fveo6e7vQP2o5aTtPuvPJfZ/BXzQp1qrmWr9bBeqBSzGBuuZO6+1KLdviPxgBHXVrAuKmIZnb76WiX+7u4EvL+rFmQvLiTYJjQsyx0F1BVk31ez5UAhSvqFtelJFX5usgJbW5fp9OufaZFa1TmugmfYadOwIwmdv6Xtx66U/k/PShNmqR75JyzPaAJbRbtvYqybfSi0Ddm1xTiWKA4veniO2cfRBMV5kKRIPWzOvrQe/JXtrFNhwV</vt:lpwstr>
  </op:property>
  <op:property fmtid="{D5CDD505-2E9C-101B-9397-08002B2CF9AE}" pid="108" name="_IPGFLOW_P-BBE4_E-1_FP-26_SP-2_CV-8BFF08AF_CN-2921B809">
    <vt:lpwstr>rI5T9fEpduPMLTxFvMHB30r/ExyUFakaoarfTR5EnbUO0FzTzH4kgKTkfTvilEATWNyEBrjQuPW9MXmJLz9F6a/xQP9fzDzWH0fdbAUGB7oIELGsMKg4DKCTjGH19x/Giwl3IBAmfXJVeZwbaVv0jcrXTrLSaE9L5Ro0osjFuIwBhYmLuCzoGpWZs7Cuklx6ZIkf4XKgfXdIxIBwsOSwjlQ==</vt:lpwstr>
  </op:property>
  <op:property fmtid="{D5CDD505-2E9C-101B-9397-08002B2CF9AE}" pid="109" name="_IPGFLOW_P-BBE4_E-0_FP-26_CV-ACF98C78_CN-3298A15C">
    <vt:lpwstr>DPSPMK|3|472|2|0</vt:lpwstr>
  </op:property>
  <op:property fmtid="{D5CDD505-2E9C-101B-9397-08002B2CF9AE}" pid="110" name="_IPGFLOW_P-BBE4_E-1_FP-27_SP-1_CV-80E40025_CN-C6C5392E">
    <vt:lpwstr>jziomC3/S5fveo6e7vQP2qqXLxKKxLnLM9U3qkf/6dsThhPqZ4ccjvCqGKJVhBI+y1WIZQoHuw8pHAjxSr5h9KuNoiyML5jR8+Lw6svDSf3yZPJFzCe8OiYgf1+zgoW2ZDZs5X3hTNtxUnHVeFHinN0EyvPQnauVqIy/rhxD7aHZmUN6chZQ8Xk/ZMxvt/7H1woVL7JGu+lLH9mehZwwPvUi9jDLAw8xTxW1TvHVLXIrz1zO/Vdj0Zo6Ho1dJQO</vt:lpwstr>
  </op:property>
  <op:property fmtid="{D5CDD505-2E9C-101B-9397-08002B2CF9AE}" pid="111" name="_IPGFLOW_P-BBE4_E-1_FP-27_SP-2_CV-B5A46551_CN-E4BA7AE0">
    <vt:lpwstr>+v1XhhFhsU9eIVmJeXzB2xExSVMdJie+OA7FWUvjoiyX7gzTG98qY618HPR8u0bz8Spyel/zdFjVY4Ys0wjTNHg==</vt:lpwstr>
  </op:property>
  <op:property fmtid="{D5CDD505-2E9C-101B-9397-08002B2CF9AE}" pid="112" name="_IPGFLOW_P-BBE4_E-0_FP-27_CV-608A35F8_CN-DDC8360D">
    <vt:lpwstr>DPSPMK|3|344|2|0</vt:lpwstr>
  </op:property>
  <op:property fmtid="{D5CDD505-2E9C-101B-9397-08002B2CF9AE}" pid="113" name="_IPGFLOW_P-BBE4_E-1_FP-28_SP-1_CV-3098D123_CN-D83C5962">
    <vt:lpwstr>jziomC3/S5fveo6e7vQP2sTi7t8rERhC8quxh+5IQ2FTZD+lWNpLwU3km5Ju4QMWUJBfj6kbV2GKtnjwHr2j5DMpKq1CoNMQVlVCVM/0Gi36IDvG71V6lnZA5S56enppEMP8IT/2jygepHRKhvotOvbaBeolkXRw5rzad9wz5ORpaE71aYH7Y4Ayit1ZabtZIhDS2vRKsaI+t4UOvoVrdH4SqnDGRmuc8lb+DWS2eayr+CABiC1tUBGbeyaMCYg</vt:lpwstr>
  </op:property>
  <op:property fmtid="{D5CDD505-2E9C-101B-9397-08002B2CF9AE}" pid="114" name="_IPGFLOW_P-BBE4_E-1_FP-28_SP-2_CV-6B8F9F46_CN-3584225C">
    <vt:lpwstr>W1Jhb/1GnlgCeC/rPg9VoGmb4hsMat1EweETm+GxJo+mrXCGPCtOjZFEz9AcYJcP2leJUED1RNaOUCY6/MixYfe/l05LTYmxMsDV9YKYUKEb7RgZj5hUV33ttwOLPjmilpnlSs3j2TmFPguNLLcnmHTj+o3q6qyJRcYntuAELTHMtc6AyO4UEVWF+JoLqdwuv/VJ2DLiauj/9iyG3u/8qOg==</vt:lpwstr>
  </op:property>
  <op:property fmtid="{D5CDD505-2E9C-101B-9397-08002B2CF9AE}" pid="115" name="_IPGFLOW_P-BBE4_E-0_FP-28_CV-ACF98C78_CN-C87EADEC">
    <vt:lpwstr>DPSPMK|3|472|2|0</vt:lpwstr>
  </op:property>
  <op:property fmtid="{D5CDD505-2E9C-101B-9397-08002B2CF9AE}" pid="116" name="_IPGFLOW_P-BBE4_E-1_FP-29_SP-1_CV-BDED7804_CN-D578891D">
    <vt:lpwstr>jziomC3/S5fveo6e7vQP2prRq9jsBVXl5xmh383AwGRlyCjMETZNOUNcDoMVM/9TGvDq/+JQFLFrvxP85ATPD7aUyf7z8iLyeJFyVK4UG0DwBjmRXal3JQPU6gtTqYSN/hexy5hKRgDfK/HIMYl1yDyyXHq/R79jCDqM0updn02EE9GytKjfgJe5pnXMMMALSpZjUAPmd03JwPeRmbfmCQW1k1j+ExKge8cdyI+3F3XuS2KjyN4AAVn9jxcF1eS</vt:lpwstr>
  </op:property>
  <op:property fmtid="{D5CDD505-2E9C-101B-9397-08002B2CF9AE}" pid="117" name="_IPGFLOW_P-BBE4_E-1_FP-29_SP-2_CV-3E65292E_CN-C4137054">
    <vt:lpwstr>5I/OOh341/CT0fo5twNtSckglD9aJCVmrtY3WYcw0b5pCdm6nYraN1ont3fy7yDGp9zmaogzooWQEf/hC3/kWeCKOLEvv2v3rj30sh5cl1YNhUHMtqdPqlChVUeamYsiAvKihiaNVSfzzezspbIIdi0rrno0vgZ5sYE6hylDoogP8WPBp8VgOX+af2+0wSrB4h1+lCTd0R6t/PB5jHgFKcg==</vt:lpwstr>
  </op:property>
  <op:property fmtid="{D5CDD505-2E9C-101B-9397-08002B2CF9AE}" pid="118" name="_IPGFLOW_P-BBE4_E-0_FP-29_CV-ACF98C78_CN-15E87469">
    <vt:lpwstr>DPSPMK|3|472|2|0</vt:lpwstr>
  </op:property>
  <op:property fmtid="{D5CDD505-2E9C-101B-9397-08002B2CF9AE}" pid="119" name="_IPGFLOW_P-BBE4_E-1_FP-2A_SP-1_CV-236F9255_CN-9E90D655">
    <vt:lpwstr>jziomC3/S5fveo6e7vQP2hJDaRHkj4E/YNm7hHpt+5i/VqWto4B7x42DV4MBeUhQlepNTfXRaGa2/b5iDyvZfEVxOB0ubGBJf276HTYhd5p+bBMF877QMW1+tFFgI1rbaqmEk4dsZHmZ8vbp7DXpu98QkdMQwkuDVOAFXHw9jt8T5fbzxQO9OTqGOx3Qfpjcm43pH1bS/TiPCRFm6Q5MeDYYCwwbcDsVsWYYxoPv22B9YWGmB8hXoIj8jfZuh6R</vt:lpwstr>
  </op:property>
  <op:property fmtid="{D5CDD505-2E9C-101B-9397-08002B2CF9AE}" pid="120" name="_IPGFLOW_P-BBE4_E-1_FP-2A_SP-2_CV-7CE4D09B_CN-7173AFA8">
    <vt:lpwstr>2DdHS9/Gcg9V4jeATKmYfh6VKuX8K99wR4tPRj2KtAD01EpYw9s9z4f9MwVfVSP4/IgVYquLZk/ZTpVLB+z1ww8/+oQRlUFSMvEF2LKn5Gw8ysBzwpQiZzG6eNksCrBITJXoIQm2jZjufrSnptjOBHL691JmDOSauss7pQ449w7NUGQ1zyCMgID9LY6ywHOHfmFSRcFMY8r15OFYwX+KmLA==</vt:lpwstr>
  </op:property>
  <op:property fmtid="{D5CDD505-2E9C-101B-9397-08002B2CF9AE}" pid="121" name="_IPGFLOW_P-BBE4_E-0_FP-2A_CV-ACF98C78_CN-F51FDB80">
    <vt:lpwstr>DPSPMK|3|472|2|0</vt:lpwstr>
  </op:property>
  <op:property fmtid="{D5CDD505-2E9C-101B-9397-08002B2CF9AE}" pid="122" name="_IPGFLOW_P-BBE4_E-1_FP-2B_SP-1_CV-9CBA87D_CN-6BA425C5">
    <vt:lpwstr>jziomC3/S5fveo6e7vQP2qrqhUGwt8a2BWJR3xvjW4pPKUp5TaHSkvpveJ3to72byD7r5pW4a8E5VNAjeJACgm2O17qdPjQr7q/S0/h+kXlau4bz8ynoRv1PzWtCRdgrUWBwITSRZokTuRdbudQ+bdG/mBqX8q1QHvIwey+lRJfCs4p41hiimtGqQq7LLzoxXLLdGt9FbSNxgOuNcr5bbCWLAclQgldkunamqbehXzEplIpvts/5rohxv+aTdEz</vt:lpwstr>
  </op:property>
  <op:property fmtid="{D5CDD505-2E9C-101B-9397-08002B2CF9AE}" pid="123" name="_IPGFLOW_P-BBE4_E-1_FP-2B_SP-2_CV-4CE5EC8E_CN-416E4917">
    <vt:lpwstr>+Vg2J4jXIEs4xcfp2xDXTiyEu9MTAsqM5FF79fsMArkxg7B8iOY0diuku2cPDbbAT/aMtv0YBkMIbtTltcerCgChS5O4eWI7InTleJ/lCVod8xira64gXBIycG/6o/Q7moqFhN8tRs9lG+p/LnI1Fez2jl5bkGLZlEMOFU8k08q2EOLEyZX+h7FM7JziJSGMvV9PLD4gST2Z698xSca8srg==</vt:lpwstr>
  </op:property>
  <op:property fmtid="{D5CDD505-2E9C-101B-9397-08002B2CF9AE}" pid="124" name="_IPGFLOW_P-BBE4_E-0_FP-2B_CV-ACF98C78_CN-48D5B74E">
    <vt:lpwstr>DPSPMK|3|472|2|0</vt:lpwstr>
  </op:property>
  <op:property fmtid="{D5CDD505-2E9C-101B-9397-08002B2CF9AE}" pid="125" name="_IPGFLOW_P-BBE4_E-1_FP-2C_SP-1_CV-562A6755_CN-B4A0D7D3">
    <vt:lpwstr>jziomC3/S5fveo6e7vQP2pBN1ed8YiSUNkZqmei9jFA4D3Hm2FiEml4lqaECaB2fP9mof/Hnu5w3jm9Abp5vgicPHt9XNmew5GT5VrX0nENK3SntX1212URsE5B7jKV6LaIj7V05u+7RknRDPVnffhX25Wj1oq4iUq+uiDXQ1gSPTIlR14Nz1FHSGO0m9yJ2qVsi6G0jJf680w8udyKIscJQWevzSDDuP1B60djtcgCbhrkQfA87gSfBue51Szp</vt:lpwstr>
  </op:property>
  <op:property fmtid="{D5CDD505-2E9C-101B-9397-08002B2CF9AE}" pid="126" name="_IPGFLOW_P-BBE4_E-1_FP-2C_SP-2_CV-232E411E_CN-3EFA3B62">
    <vt:lpwstr>seocJBumoUvZXRLloVsW8r+4lhYFvHG9fVzp7wcranRIBT5ebkI5JQ1Skstw7IeeLV6sUO4YItM3k3IGUGJYxC9+yUxzydAxMJORiixPedhbBUCy3Tc7r4ml7YKESyM0Jv332vlX0XQWjT4uy/84m5HPnQEIsYyqRECG15KYL2v45mCk4gXeWf/5frubBtSpxDXrURYn51+uj2a7pybfTHA==</vt:lpwstr>
  </op:property>
  <op:property fmtid="{D5CDD505-2E9C-101B-9397-08002B2CF9AE}" pid="127" name="_IPGFLOW_P-BBE4_E-0_FP-2C_CV-ACF98C78_CN-95436ECB">
    <vt:lpwstr>DPSPMK|3|472|2|0</vt:lpwstr>
  </op:property>
  <op:property fmtid="{D5CDD505-2E9C-101B-9397-08002B2CF9AE}" pid="128" name="_IPGFLOW_P-BBE4_E-1_FP-2D_SP-1_CV-4E81EB6D_CN-3B726396">
    <vt:lpwstr>jziomC3/S5fveo6e7vQP2hOzYJlIFdYthUBlZx8RRzPvU63aPhe89+CxeBRQZCHa1LmLEV7yoWN50isvL3n7edproe4WH0nT/z96TZUu1XprLSWobYWKuFJdZ55UFTtnBlDwEIydsYreQr8tYdG1Pfpq+PNTnH4AJJbkHdX+5c7xh/y6QpjO6mfds5LLfiGr+xZdag5Z+FvY1qUQ7WAGbJQWHn1OrkFtR9HveQiMxR86SJgoVlzMAA69MZYktB3</vt:lpwstr>
  </op:property>
  <op:property fmtid="{D5CDD505-2E9C-101B-9397-08002B2CF9AE}" pid="129" name="_IPGFLOW_P-BBE4_E-1_FP-2D_SP-2_CV-4794B4DA_CN-5E3B512F">
    <vt:lpwstr>HSW2L8aVbdZl5KsxxzfvQs5QgdN/vAba/KPSx6tPNWnwiAusq+PFJwmneGnMx9nh5Gj8aKzidZdr4KalNTm4Qs9hNtMxyJDH+/qK+ZazyB4bTKDA1GmjD8ml5QxFYruy3WJcgJSNm7GtT2a2MZyM6sHFHz6S2nJTYcXKAtjV1XfEWm8tKba2Zzf/YP8CWPogXrILo/eGmNGNPqBIMIW1CDoqelbs4Mk/Ws8Uq+/Y+bv8Ogyds8eTyIWZP2R2mES</vt:lpwstr>
  </op:property>
  <op:property fmtid="{D5CDD505-2E9C-101B-9397-08002B2CF9AE}" pid="130" name="_IPGFLOW_P-BBE4_E-1_FP-2D_SP-3_CV-E96D1B5E_CN-A353A7DD">
    <vt:lpwstr>gV</vt:lpwstr>
  </op:property>
  <op:property fmtid="{D5CDD505-2E9C-101B-9397-08002B2CF9AE}" pid="131" name="_IPGFLOW_P-BBE4_E-0_FP-2D_CV-DD150EE6_CN-8D28EA2F">
    <vt:lpwstr>DPSPMK|3|512|3|0</vt:lpwstr>
  </op:property>
  <op:property fmtid="{D5CDD505-2E9C-101B-9397-08002B2CF9AE}" pid="132" name="KSOTemplateDocerSaveRecord">
    <vt:lpwstr>eyJoZGlkIjoiNWNkNmQzOTQ4MDU0NTFlNzYxZTU3MjM4Zjc2NDRlOGMiLCJ1c2VySWQiOiI1Njk4NDEyNTMifQ==</vt:lpwstr>
  </op:property>
  <op:property fmtid="{D5CDD505-2E9C-101B-9397-08002B2CF9AE}" pid="133" name="_IPGFLOW_P-BBE4_E-1_FP-2E_SP-1_CV-5E24391A_CN-582A6346">
    <vt:lpwstr>YyrBaBNEzJciyDCvLYBrmvcp0EywXFp6V020UF8mKGxgK9wckkpCxCEBoQkwLGhOQxiIhNyNbTltRrcD283SwOy/bX8454e5fmDIuwxsdiwbGvswe64qNhH7oYXGkv/uhrG6ZxLNoKGGqmmeiTD26aWziD83PpuUCt6tWs1vMyhO4CEuIUXz/EiqmULYfi5uBHtgYW2krhy9Ozwi6ldH8jwIsp8rM3XsytMaHjvjeTAxp3dOMMMMEDzTNOk+e4C</vt:lpwstr>
  </op:property>
  <op:property fmtid="{D5CDD505-2E9C-101B-9397-08002B2CF9AE}" pid="134" name="_IPGFLOW_P-BBE4_E-1_FP-2E_SP-2_CV-9ABF56A5_CN-98505488">
    <vt:lpwstr>jcDQAxFJb4PYyc6N/5pn4hh61duAOLo7RW5mqHuU64hxvaUIqYa4SnpRLVEXG8g7+XcW4imYPIarBeXXFYoJp7U/lHjP3sqq3vfzqKjTLy/vs+Jow4A3UPiWSwKCza5moMscCbYrkEqJvo7LyyfG9ZGK0mLOH/zQAvyjg9QJxUnVf/u0jBH9JDN/cMfHklU0GHYdenT3XlTKSPdALDFQIH8OUdshdQBIQd0GI5nS+OnawoRBgWrciBYRMBRiJ0l</vt:lpwstr>
  </op:property>
  <op:property fmtid="{D5CDD505-2E9C-101B-9397-08002B2CF9AE}" pid="135" name="_IPGFLOW_P-BBE4_E-1_FP-2E_SP-3_CV-6433A56F_CN-9C9397D3">
    <vt:lpwstr>Rj</vt:lpwstr>
  </op:property>
  <op:property fmtid="{D5CDD505-2E9C-101B-9397-08002B2CF9AE}" pid="136" name="_IPGFLOW_P-BBE4_E-0_FP-2E_CV-DD150EE6_CN-50BE33AA">
    <vt:lpwstr>DPSPMK|3|512|3|0</vt:lpwstr>
  </op:property>
  <op:property fmtid="{D5CDD505-2E9C-101B-9397-08002B2CF9AE}" pid="137" name="_IPGFLOW_P-BBE4_E-1_FP-2F_SP-1_CV-E7F09494_CN-8FEB7B2D">
    <vt:lpwstr>DHjqLk9HNoklQINs108j8uYtM2w60lptSYzRVMbE8Xuo7Rk7annOFLIPRovE4iWFS5dwsXFb+i4OW/0myD+QBhWF70PU0SHk1TyKf8RywvzoEOrfwn48fGbSn7Rs8ZaBmjpCRw7X8ma0bj3VjZqUzUDhgZXDlB+8JvZitMOnu5wHE7UkU/lGwNe1TbLfFBWtSpvusCd2lSIsNh7sbRdM+MRU0Kf7zHK81GsDxOMAHToCNjZkVKHvV0oTORumLcp</vt:lpwstr>
  </op:property>
  <op:property fmtid="{D5CDD505-2E9C-101B-9397-08002B2CF9AE}" pid="138" name="_IPGFLOW_P-BBE4_E-1_FP-2F_SP-2_CV-EC1D619F_CN-D0D05A00">
    <vt:lpwstr>bB5tBVpmlfDz+cUVpK/xvt6jwqW07lMQeZo9E40im6l74yFuNJPy/Vjd7RHV+16+ytWnrdspFu0hObH+PRwqLxEvdfOBgx7EkBparkEtgeOLXMtfm8zUxj7OwyIyUiNsexUt697tyLqH0IukiOOsK1WLKC3ZzB8jbG2ZfFBMkSTDMM3RmRYwWUI4xw46EET+K</vt:lpwstr>
  </op:property>
  <op:property fmtid="{D5CDD505-2E9C-101B-9397-08002B2CF9AE}" pid="139" name="_IPGFLOW_P-BBE4_E-0_FP-2F_CV-60DDE677_CN-E423C5F9">
    <vt:lpwstr>DPSPMK|3|448|2|0</vt:lpwstr>
  </op:property>
  <op:property fmtid="{D5CDD505-2E9C-101B-9397-08002B2CF9AE}" pid="140" name="_IPGFLOW_P-BBE4_E-1_FP-30_SP-1_CV-C355029E_CN-B6EC7CA1">
    <vt:lpwstr>DHjqLk9HNoklQINs108j8rm8v9ZqamUlJQQirLDhgQ58sYjN7y+fhoCbvI303uQRhA/ciXp1YtltoRE4cas8fs0LjDdzuJcTLibHzm7KyT6BDVVMEXs09+bku5+aKw01AAX1+26lbhKHeTDh/B1w96gCKqePuSBQF+/MtxVRy9JxhTNfm6WdAWTpIj5bKFxnq9eZW7isBwLQGsUQimaSoOsmbtAmRGOXYg2XxVe8jCQwHmWaxclB1rJz/Bg1phv</vt:lpwstr>
  </op:property>
  <op:property fmtid="{D5CDD505-2E9C-101B-9397-08002B2CF9AE}" pid="141" name="_IPGFLOW_P-BBE4_E-1_FP-30_SP-2_CV-1787E74_CN-11A693C1">
    <vt:lpwstr>tybaxooCHaMZtTd/aseqcfD0iFTnO80vWCJd6bbHdp779M8gvG9xJBO75uIvfYZf9EStoxmIcJ8PQBOiWGgyZGnME3DJrAGdcwW6cm5lIa3KaY9w9AnDPHQqYudhNCky4HKOaqliJU/X+m3GbAqUg9Ca8+9ThCgOOXww23Oj+5JI8M49XyyB6jAYf7eX4LfvH</vt:lpwstr>
  </op:property>
  <op:property fmtid="{D5CDD505-2E9C-101B-9397-08002B2CF9AE}" pid="142" name="_IPGFLOW_P-BBE4_E-0_FP-30_CV-60DDE677_CN-633D87D6">
    <vt:lpwstr>DPSPMK|3|448|2|0</vt:lpwstr>
  </op:property>
  <op:property fmtid="{D5CDD505-2E9C-101B-9397-08002B2CF9AE}" pid="143" name="_IPGFLOW_P-BBE4_E-1_FP-31_SP-1_CV-25CA05E5_CN-5D7D97E4">
    <vt:lpwstr>DHjqLk9HNoklQINs108j8i8YaWuTBQiKt0akzX3l7m/dk7Rhb+OzemJ5dwPd4TLrVeSI6YX5FRqBrmdoiroHUBs3RcPLCm36/xBcMw79SY/eK5NZah/Tih6EZRJTDl4Z/RgaAPu7q5ym+4+5EKNFT5Kb7fL/8gT3L88uLq49mQ8SFY/+6+JKnjlnDtCrvQKC31CbiQmqCeqJCDU7N5BvBI/6/h4HmGMFqWxj2NeD5uAFe8WnNorN8359q1ohy8W</vt:lpwstr>
  </op:property>
  <op:property fmtid="{D5CDD505-2E9C-101B-9397-08002B2CF9AE}" pid="144" name="_IPGFLOW_P-BBE4_E-1_FP-31_SP-2_CV-34FFA2E7_CN-50450DF3">
    <vt:lpwstr>zJziLSV8V8xI03L39JW64zwHRSF0z0Ektm0jlBy/W1G33PrPFlKdepmZZ1uWyEbr5ZLIK145xXS/SC9llvpKRKUg2Z3VFSTbJ8Kgi517xgShZcvrZY3KIhKlA+eJirjBhfJE872Kj2JEGjIrgGpeSB3bfIwZcL2GXZdq3VR/FBAIXBh3F8zZSHXQlKvCBK8yd</vt:lpwstr>
  </op:property>
  <op:property fmtid="{D5CDD505-2E9C-101B-9397-08002B2CF9AE}" pid="145" name="_IPGFLOW_P-BBE4_E-0_FP-31_CV-60DDE677_CN-BEAB5E53">
    <vt:lpwstr>DPSPMK|3|448|2|0</vt:lpwstr>
  </op:property>
  <op:property fmtid="{D5CDD505-2E9C-101B-9397-08002B2CF9AE}" pid="146" name="_IPGFLOW_P-BBE4_E-1_FP-32_SP-1_CV-B75493D6_CN-99EA189F">
    <vt:lpwstr>DHjqLk9HNoklQINs108j8j3L7EcVhg2DAWy8/9smZigAzk0XOBWIJOu9hJow0QYJTvHViIUG2lo3GM8d49ULQNZz9jbsYjpJQbrZNE2HFd3WlYITwYOn3LtJpNLx01kYFHVNe0I/k+Vso9okXPKBacqLyqTYrR3Lzo2ahjVF0dpdOPiFssVfmUsMCyL/CsAYsuRSjJfpqFoaakSCvv+Gck3GV/5cXKh1hI62q7dKHJWoC7wN5oaBDg1UXfNwYRP</vt:lpwstr>
  </op:property>
  <op:property fmtid="{D5CDD505-2E9C-101B-9397-08002B2CF9AE}" pid="147" name="_IPGFLOW_P-BBE4_E-1_FP-32_SP-2_CV-7713B721_CN-B517B131">
    <vt:lpwstr>9HU/dH7Sc19gMGDOJzPIdYTpljH7yFAtXKVUBK+dzPqEjfjOox8S2Tp4bsHgWKz2qgHnnpIVQ2y+kivAMWBRdF3NSw2TjdeWKuBBnose+d5FMF5Tgdl6KLqT72dJtY8MKIJP0G6ukX4iZC1yhE7sn+dThBuxDMN81Fmp/DU7Pls8tuZUXC0iaJ1NZWyVTO3/k</vt:lpwstr>
  </op:property>
  <op:property fmtid="{D5CDD505-2E9C-101B-9397-08002B2CF9AE}" pid="148" name="_IPGFLOW_P-BBE4_E-0_FP-32_CV-60DDE677_CN-361329D">
    <vt:lpwstr>DPSPMK|3|448|2|0</vt:lpwstr>
  </op:property>
  <op:property fmtid="{D5CDD505-2E9C-101B-9397-08002B2CF9AE}" pid="149" name="_IPGFLOW_P-BBE4_E-1_FP-1_SP-1_CV-9F2B512_CN-C6ED4195">
    <vt:lpwstr>DHjqLk9HNoklQINs108j8n08JcvJGa5Lsxl3mRxGrBZOYCZvxRuZqgqOwaIYAaNaKINfZiP6LMJ4tibgHrPQcsyIvpbqricE7Iq3vYNeHQB93e1CMofRPYJlZ/3db1UTWjvCM6OOwG+crwgrzMEHPdi2AlKHQvgss5YDNbMag6nUAKp6hbmNAbxCFki0FpSCV6Rj/XMGxOLdNey52NnF9yg3PViub9+WosBFCr1nXBZf1auC4pxlt0F8ojSZyN+</vt:lpwstr>
  </op:property>
  <op:property fmtid="{D5CDD505-2E9C-101B-9397-08002B2CF9AE}" pid="150" name="_IPGFLOW_P-BBE4_E-1_FP-1_SP-2_CV-E13CACFE_CN-35AA1BBE">
    <vt:lpwstr>CgIbBepiz/RSRtmIawnH4v71tYTF0/kLkHZ7vSzCQNbTXugyYNHDe79ALNvju6Ph0q4AQMZRVO+lEW+2yDK3im8emgyjIttNgsqUE9aDEochuzfHkmIX/Sx9wTIDhnV6h8L3aLQZXmhusgBmJL0KcrmR4cPbyah8lOSC34+BgpwCWbYRScmVrPQ6sfPmYew7P</vt:lpwstr>
  </op:property>
  <op:property fmtid="{D5CDD505-2E9C-101B-9397-08002B2CF9AE}" pid="151" name="_IPGFLOW_P-BBE4_E-0_FP-1_CV-60DDE677_CN-3C24AF2B">
    <vt:lpwstr>DPSPMK|3|448|2|0</vt:lpwstr>
  </op:property>
  <op:property fmtid="{D5CDD505-2E9C-101B-9397-08002B2CF9AE}" pid="152" name="_IPGFLOW_P-BBE4_E-1_FP-2_SP-1_CV-D11902E2_CN-331A812B">
    <vt:lpwstr>DHjqLk9HNoklQINs108j8qJBNfT+S0WWUrUiU4Uu/bQoRGY16CsNODdW0s+Ln6ljER4gE5Uj45ZoXHN1H9NTjs9Y5EPmX3MuYSuTOJ0E5kqSWtAS5/Lv5O5tdzyGqs0luYORtoxWScKY7N7P8pv8dElGrC4t6tH4qyqis5IvLoqI3xLhSyljqmKDgYeYlE+oHz1MTKJDRME0OrpIPkF9NxmDhsBRd90msvj4IABlibZPLLbQhzrR2K2WgSFI9uU</vt:lpwstr>
  </op:property>
  <op:property fmtid="{D5CDD505-2E9C-101B-9397-08002B2CF9AE}" pid="153" name="_IPGFLOW_P-BBE4_E-1_FP-2_SP-2_CV-8EB61A9D_CN-B6092623">
    <vt:lpwstr>obceY5oWI0vn5vz2rArLHUM142FoeEdjBZIQccDy7sXEWj0+i6UDtlaYoUk/r5kCQZV2h1/TWRKpm9K4F6hiseIBDHp8kh9otLdUa3BlNkG8owkN4Vm7Beiygwnm993nFuJC/44RwZ3Y0F7enf+ldMPBDrAvcjs33NQMj4CFgxLsec5vTcmNuMz6z4kGSl/Lk</vt:lpwstr>
  </op:property>
  <op:property fmtid="{D5CDD505-2E9C-101B-9397-08002B2CF9AE}" pid="154" name="_IPGFLOW_P-BBE4_E-0_FP-2_CV-60DDE677_CN-81EEC3E5">
    <vt:lpwstr>DPSPMK|3|448|2|0</vt:lpwstr>
  </op:property>
  <op:property fmtid="{D5CDD505-2E9C-101B-9397-08002B2CF9AE}" pid="155" name="_IPGFLOW_P-BBE4_E-0_CV-8BD6D882_CN-E0EF9B32">
    <vt:lpwstr>DPFPMK|3|50|3|0</vt:lpwstr>
  </op:property>
  <op:property fmtid="{D5CDD505-2E9C-101B-9397-08002B2CF9AE}" pid="156" name="_IPGFLOW_P-BBE4_E-1_FP-3_SP-1_CV-A0056C11_CN-9E71BC4D">
    <vt:lpwstr>DHjqLk9HNoklQINs108j8tWEV81p4142yfoauJpZxRWWkrzpt17pxGeme/t38+Ip9DUpEcsC7snuJ934ayZbrLN7rr00opb9TkxAGE+4bsZlvoH5uDGg7tNyhugWbsJMAmogyENznHBAQomUQTcMBBk0yenvundsYm/1EsIMJMabxI76ZBHj5ukWKBhqQvZ9uDFgae/Hkpk503/EV8QbMTkEhFWslHgxmhUf3rSYrPmUompx/yDpHZrvmgemkOy</vt:lpwstr>
  </op:property>
  <op:property fmtid="{D5CDD505-2E9C-101B-9397-08002B2CF9AE}" pid="157" name="_IPGFLOW_P-BBE4_E-1_FP-3_SP-2_CV-4C26DBF7_CN-590A163E">
    <vt:lpwstr>Unu1hP/35hA8hzn4+5P9dm6DEiWBj11gQHKs0SZSc9kMqZrIbbMbTtRmvU0m8t7bsefTT4+ETfT++B9s7v179smlee5duAoo95GAGhxgWRiZVdjDdtH+y5+05cS2Yl+br5Kst2CXNjF4Oe4SiEBpXruWa2Dm2JQ1EKnvHb1WpRYrTRj9uatkjwgEHPsmLx725eNnjnml0zAzidGa0yIH/xlWUFG5Zd/5WVcbaUZtVE4kwzYzs7VxUd9qan2RQQb</vt:lpwstr>
  </op:property>
  <op:property fmtid="{D5CDD505-2E9C-101B-9397-08002B2CF9AE}" pid="158" name="_IPGFLOW_P-BBE4_E-1_FP-3_SP-3_CV-374CA304_CN-F394C3A7">
    <vt:lpwstr>ZTFi+UkIiw+DS6Ba0RQxTrQjir+JIHKrTgYecRKe/SsLgMINXpRSomduKohJdfbVZL</vt:lpwstr>
  </op:property>
  <op:property fmtid="{D5CDD505-2E9C-101B-9397-08002B2CF9AE}" pid="159" name="_IPGFLOW_P-BBE4_E-0_FP-3_CV-FECC4B3B_CN-2525DF16">
    <vt:lpwstr>DPSPMK|3|576|3|0</vt:lpwstr>
  </op:property>
  <op:property fmtid="{D5CDD505-2E9C-101B-9397-08002B2CF9AE}" pid="160" name="_IPGLAB_P-BBE4_E-1_CV-891B407C_CN-8501EE15">
    <vt:lpwstr>96HFy+Pi5ka53sGeaqSaC3HuZhFFgJ2/qbi+Lz7xJ/RN/zkjT+aBixlEiebKXLvF/UgJB1YRuMN5rRQj3McJfURB4hg01lYNfSJvYoTaV3o2yqnir+LY2O3XLrenn5ey3k+FKo3K4fWMvQ5UrXaOhb+//ZHbZa9jnQn5viAIBuiKQbXugl+TRWmO0H9qNgb2KtX5UEhNp5LjjCFrBomxzx28MbplyRH9Kg69rcK6wGA=</vt:lpwstr>
  </op:property>
</op:Properties>
</file>